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0D07" w14:textId="2D44420D" w:rsidR="00426036" w:rsidRPr="00C86BA4" w:rsidRDefault="007B0E44" w:rsidP="007B0E44">
      <w:pPr>
        <w:tabs>
          <w:tab w:val="left" w:pos="2529"/>
          <w:tab w:val="center" w:pos="5616"/>
        </w:tabs>
        <w:ind w:left="144" w:right="288"/>
        <w:contextualSpacing/>
        <w:textAlignment w:val="baseline"/>
        <w:rPr>
          <w:rFonts w:eastAsia="Segoe UI"/>
          <w:b/>
          <w:caps/>
          <w:color w:val="000000"/>
          <w:sz w:val="32"/>
          <w:szCs w:val="32"/>
        </w:rPr>
      </w:pPr>
      <w:r>
        <w:rPr>
          <w:rFonts w:ascii="Myriad Pro" w:eastAsia="Segoe UI" w:hAnsi="Myriad Pro"/>
          <w:b/>
          <w:caps/>
          <w:color w:val="000000"/>
          <w:sz w:val="32"/>
          <w:szCs w:val="32"/>
        </w:rPr>
        <w:tab/>
      </w:r>
      <w:r w:rsidRPr="00C86BA4">
        <w:rPr>
          <w:rFonts w:eastAsia="Segoe UI"/>
          <w:b/>
          <w:caps/>
          <w:color w:val="000000"/>
          <w:sz w:val="32"/>
          <w:szCs w:val="32"/>
        </w:rPr>
        <w:tab/>
      </w:r>
      <w:r w:rsidR="00160461">
        <w:rPr>
          <w:rFonts w:eastAsia="Segoe UI"/>
          <w:b/>
          <w:caps/>
          <w:color w:val="000000"/>
          <w:sz w:val="32"/>
          <w:szCs w:val="32"/>
        </w:rPr>
        <w:t xml:space="preserve">SBA </w:t>
      </w:r>
      <w:r w:rsidR="00C86BA4" w:rsidRPr="00C86BA4">
        <w:rPr>
          <w:rFonts w:eastAsia="Segoe UI"/>
          <w:b/>
          <w:caps/>
          <w:color w:val="000000"/>
          <w:sz w:val="32"/>
          <w:szCs w:val="32"/>
        </w:rPr>
        <w:t>Paycheck Protection Program</w:t>
      </w:r>
    </w:p>
    <w:p w14:paraId="343061EB" w14:textId="61BD20D9" w:rsidR="00C86BA4" w:rsidRPr="00C86BA4" w:rsidRDefault="00F450A5" w:rsidP="00C86BA4">
      <w:pPr>
        <w:tabs>
          <w:tab w:val="left" w:pos="2529"/>
          <w:tab w:val="center" w:pos="5616"/>
        </w:tabs>
        <w:ind w:left="144" w:right="288"/>
        <w:contextualSpacing/>
        <w:jc w:val="center"/>
        <w:textAlignment w:val="baseline"/>
        <w:rPr>
          <w:rFonts w:eastAsia="Segoe UI"/>
          <w:b/>
          <w:caps/>
          <w:color w:val="000000"/>
        </w:rPr>
      </w:pPr>
      <w:r>
        <w:rPr>
          <w:rFonts w:eastAsia="Segoe UI"/>
          <w:b/>
          <w:caps/>
          <w:color w:val="000000"/>
        </w:rPr>
        <w:t xml:space="preserve">Forgiveness </w:t>
      </w:r>
      <w:r w:rsidR="00B24F61">
        <w:rPr>
          <w:rFonts w:eastAsia="Segoe UI"/>
          <w:b/>
          <w:caps/>
          <w:color w:val="000000"/>
        </w:rPr>
        <w:t>Application Checklist</w:t>
      </w:r>
    </w:p>
    <w:p w14:paraId="71BEE5B0" w14:textId="77777777" w:rsidR="002E5EF6" w:rsidRPr="00B24F61" w:rsidRDefault="002E5EF6" w:rsidP="002E5EF6">
      <w:pPr>
        <w:pBdr>
          <w:bottom w:val="single" w:sz="12" w:space="1" w:color="auto"/>
        </w:pBdr>
        <w:contextualSpacing/>
        <w:textAlignment w:val="baseline"/>
        <w:rPr>
          <w:rFonts w:eastAsia="Segoe UI"/>
          <w:b/>
          <w:color w:val="000000"/>
          <w:sz w:val="4"/>
          <w:szCs w:val="4"/>
        </w:rPr>
      </w:pPr>
    </w:p>
    <w:p w14:paraId="086A791E" w14:textId="70214952" w:rsidR="0033007A" w:rsidRPr="006B6966" w:rsidRDefault="0033007A" w:rsidP="002E5EF6">
      <w:pPr>
        <w:contextualSpacing/>
        <w:textAlignment w:val="baseline"/>
        <w:rPr>
          <w:rFonts w:eastAsia="Segoe UI"/>
          <w:b/>
          <w:smallCaps/>
          <w:color w:val="000000"/>
          <w:sz w:val="20"/>
          <w:szCs w:val="20"/>
        </w:rPr>
      </w:pPr>
    </w:p>
    <w:p w14:paraId="6C479BA3" w14:textId="6F30A052" w:rsidR="00105220" w:rsidRPr="00683F8B" w:rsidRDefault="00105220" w:rsidP="00F5038E">
      <w:pPr>
        <w:jc w:val="both"/>
        <w:rPr>
          <w:rFonts w:eastAsia="Segoe UI"/>
        </w:rPr>
      </w:pPr>
      <w:r w:rsidRPr="003B3F6E">
        <w:rPr>
          <w:rFonts w:eastAsia="Segoe UI"/>
        </w:rPr>
        <w:t xml:space="preserve">Please use this </w:t>
      </w:r>
      <w:r w:rsidR="00A37629" w:rsidRPr="003B3F6E">
        <w:rPr>
          <w:rFonts w:eastAsia="Segoe UI"/>
        </w:rPr>
        <w:t>C</w:t>
      </w:r>
      <w:r w:rsidRPr="003B3F6E">
        <w:rPr>
          <w:rFonts w:eastAsia="Segoe UI"/>
        </w:rPr>
        <w:t xml:space="preserve">hecklist as a guide to submit your </w:t>
      </w:r>
      <w:r w:rsidR="00486679" w:rsidRPr="003B3F6E">
        <w:rPr>
          <w:rFonts w:eastAsia="Segoe UI"/>
        </w:rPr>
        <w:t>P</w:t>
      </w:r>
      <w:r w:rsidRPr="003B3F6E">
        <w:rPr>
          <w:rFonts w:eastAsia="Segoe UI"/>
        </w:rPr>
        <w:t xml:space="preserve">aycheck </w:t>
      </w:r>
      <w:r w:rsidR="001A3E4B" w:rsidRPr="003B3F6E">
        <w:rPr>
          <w:rFonts w:eastAsia="Segoe UI"/>
        </w:rPr>
        <w:t>Protection Program (PPP)</w:t>
      </w:r>
      <w:r w:rsidR="00486679" w:rsidRPr="003B3F6E">
        <w:rPr>
          <w:rFonts w:eastAsia="Segoe UI"/>
        </w:rPr>
        <w:t xml:space="preserve"> </w:t>
      </w:r>
      <w:r w:rsidR="00F450A5" w:rsidRPr="003B3F6E">
        <w:rPr>
          <w:rFonts w:eastAsia="Segoe UI"/>
        </w:rPr>
        <w:t>L</w:t>
      </w:r>
      <w:r w:rsidR="00486679" w:rsidRPr="003B3F6E">
        <w:rPr>
          <w:rFonts w:eastAsia="Segoe UI"/>
        </w:rPr>
        <w:t xml:space="preserve">oan </w:t>
      </w:r>
      <w:r w:rsidR="00F450A5" w:rsidRPr="003B3F6E">
        <w:rPr>
          <w:rFonts w:eastAsia="Segoe UI"/>
        </w:rPr>
        <w:t>F</w:t>
      </w:r>
      <w:r w:rsidR="00486679" w:rsidRPr="003B3F6E">
        <w:rPr>
          <w:rFonts w:eastAsia="Segoe UI"/>
        </w:rPr>
        <w:t xml:space="preserve">orgiveness </w:t>
      </w:r>
      <w:r w:rsidR="00F450A5" w:rsidRPr="003B3F6E">
        <w:rPr>
          <w:rFonts w:eastAsia="Segoe UI"/>
        </w:rPr>
        <w:t>A</w:t>
      </w:r>
      <w:r w:rsidR="00486679" w:rsidRPr="003B3F6E">
        <w:rPr>
          <w:rFonts w:eastAsia="Segoe UI"/>
        </w:rPr>
        <w:t>pplication</w:t>
      </w:r>
      <w:r w:rsidR="001A3E4B" w:rsidRPr="003B3F6E">
        <w:rPr>
          <w:rFonts w:eastAsia="Segoe UI"/>
        </w:rPr>
        <w:t xml:space="preserve">.  </w:t>
      </w:r>
      <w:r w:rsidR="00594AEB" w:rsidRPr="003B3F6E">
        <w:rPr>
          <w:rFonts w:eastAsia="Segoe UI"/>
        </w:rPr>
        <w:t xml:space="preserve">Ask to speak with </w:t>
      </w:r>
      <w:r w:rsidR="003B3F6E">
        <w:rPr>
          <w:rFonts w:eastAsia="Segoe UI"/>
        </w:rPr>
        <w:t xml:space="preserve">you’re a </w:t>
      </w:r>
      <w:r w:rsidR="00594AEB" w:rsidRPr="003B3F6E">
        <w:rPr>
          <w:rFonts w:eastAsia="Segoe UI"/>
        </w:rPr>
        <w:t xml:space="preserve">PPP </w:t>
      </w:r>
      <w:r w:rsidR="003B3F6E">
        <w:rPr>
          <w:rFonts w:eastAsia="Segoe UI"/>
        </w:rPr>
        <w:t xml:space="preserve">loan forgiveness specialist </w:t>
      </w:r>
      <w:r w:rsidR="00594AEB" w:rsidRPr="003B3F6E">
        <w:rPr>
          <w:rFonts w:eastAsia="Segoe UI"/>
        </w:rPr>
        <w:t>about any</w:t>
      </w:r>
      <w:r w:rsidR="001A3E4B" w:rsidRPr="003B3F6E">
        <w:rPr>
          <w:rFonts w:eastAsia="Segoe UI"/>
        </w:rPr>
        <w:t xml:space="preserve"> questions related to the PPP</w:t>
      </w:r>
      <w:r w:rsidR="00551511" w:rsidRPr="003B3F6E">
        <w:rPr>
          <w:rFonts w:eastAsia="Segoe UI"/>
        </w:rPr>
        <w:t xml:space="preserve"> forgiveness process</w:t>
      </w:r>
      <w:r w:rsidR="001A3E4B" w:rsidRPr="003B3F6E">
        <w:rPr>
          <w:rFonts w:eastAsia="Segoe UI"/>
        </w:rPr>
        <w:t xml:space="preserve">; call Customer Care </w:t>
      </w:r>
      <w:r w:rsidR="001A3E4B" w:rsidRPr="003B3F6E">
        <w:t>at (800) 339-6573 and we’ll connect you.</w:t>
      </w:r>
      <w:r w:rsidR="001A3E4B" w:rsidRPr="00683F8B">
        <w:t xml:space="preserve"> </w:t>
      </w:r>
    </w:p>
    <w:p w14:paraId="5116A2ED" w14:textId="77777777" w:rsidR="001A3E4B" w:rsidRPr="00CA3174" w:rsidRDefault="001A3E4B" w:rsidP="00F5038E">
      <w:pPr>
        <w:jc w:val="both"/>
        <w:rPr>
          <w:rFonts w:eastAsia="Segoe UI"/>
          <w:b/>
        </w:rPr>
      </w:pPr>
    </w:p>
    <w:p w14:paraId="39CFFC3D" w14:textId="5E51CE46" w:rsidR="00E14DDD" w:rsidRPr="00683F8B" w:rsidRDefault="00486679" w:rsidP="00F5038E">
      <w:pPr>
        <w:pStyle w:val="ListParagraph"/>
        <w:numPr>
          <w:ilvl w:val="0"/>
          <w:numId w:val="7"/>
        </w:numPr>
        <w:jc w:val="both"/>
        <w:rPr>
          <w:rFonts w:eastAsia="Segoe UI"/>
          <w:b/>
        </w:rPr>
      </w:pPr>
      <w:r w:rsidRPr="00683F8B">
        <w:rPr>
          <w:rFonts w:eastAsia="Segoe UI"/>
          <w:b/>
        </w:rPr>
        <w:t xml:space="preserve">Review important PPP Forms and </w:t>
      </w:r>
      <w:r w:rsidR="00910ABC" w:rsidRPr="00683F8B">
        <w:rPr>
          <w:rFonts w:eastAsia="Segoe UI"/>
          <w:b/>
        </w:rPr>
        <w:t>g</w:t>
      </w:r>
      <w:r w:rsidRPr="00683F8B">
        <w:rPr>
          <w:rFonts w:eastAsia="Segoe UI"/>
          <w:b/>
        </w:rPr>
        <w:t>uidance</w:t>
      </w:r>
      <w:r w:rsidR="00910ABC" w:rsidRPr="00683F8B">
        <w:rPr>
          <w:rFonts w:eastAsia="Segoe UI"/>
          <w:b/>
        </w:rPr>
        <w:t>.</w:t>
      </w:r>
    </w:p>
    <w:p w14:paraId="100A89A7" w14:textId="77777777" w:rsidR="00B24F61" w:rsidRPr="003475BC" w:rsidRDefault="00B24F61" w:rsidP="00F5038E">
      <w:pPr>
        <w:pStyle w:val="ListParagraph"/>
        <w:ind w:left="360"/>
        <w:jc w:val="both"/>
        <w:rPr>
          <w:rFonts w:eastAsia="Segoe UI"/>
          <w:b/>
          <w:sz w:val="10"/>
          <w:szCs w:val="10"/>
        </w:rPr>
      </w:pPr>
    </w:p>
    <w:p w14:paraId="5E848630" w14:textId="6ED2142A" w:rsidR="00F450A5" w:rsidRPr="00683F8B" w:rsidRDefault="00204E19" w:rsidP="00F450A5">
      <w:pPr>
        <w:pStyle w:val="ListParagraph"/>
        <w:numPr>
          <w:ilvl w:val="0"/>
          <w:numId w:val="9"/>
        </w:numPr>
        <w:tabs>
          <w:tab w:val="left" w:pos="1020"/>
        </w:tabs>
        <w:spacing w:before="60" w:after="60" w:line="240" w:lineRule="atLeast"/>
        <w:jc w:val="both"/>
        <w:rPr>
          <w:rFonts w:eastAsia="Segoe UI"/>
        </w:rPr>
      </w:pPr>
      <w:r>
        <w:rPr>
          <w:rFonts w:eastAsia="Segoe UI"/>
        </w:rPr>
        <w:t>O</w:t>
      </w:r>
      <w:r w:rsidR="00486679" w:rsidRPr="00683F8B">
        <w:rPr>
          <w:rFonts w:eastAsia="Segoe UI"/>
        </w:rPr>
        <w:t>riginal PPP Borrower Application Form (SBA Form 2483</w:t>
      </w:r>
      <w:r w:rsidR="00E92E61">
        <w:rPr>
          <w:rFonts w:eastAsia="Segoe UI"/>
        </w:rPr>
        <w:t>/2483-SD</w:t>
      </w:r>
      <w:r w:rsidR="00486679" w:rsidRPr="00683F8B">
        <w:rPr>
          <w:rFonts w:eastAsia="Segoe UI"/>
        </w:rPr>
        <w:t>)</w:t>
      </w:r>
      <w:r w:rsidR="001956D2" w:rsidRPr="00683F8B">
        <w:rPr>
          <w:rFonts w:eastAsia="Segoe UI"/>
        </w:rPr>
        <w:t>.</w:t>
      </w:r>
      <w:r w:rsidR="00486679" w:rsidRPr="00683F8B">
        <w:rPr>
          <w:rFonts w:eastAsia="Segoe UI"/>
        </w:rPr>
        <w:t xml:space="preserve">  </w:t>
      </w:r>
    </w:p>
    <w:p w14:paraId="68778B79" w14:textId="0988EE15" w:rsidR="00F450A5" w:rsidRPr="00683F8B" w:rsidRDefault="00486679" w:rsidP="00F450A5">
      <w:pPr>
        <w:pStyle w:val="ListParagraph"/>
        <w:numPr>
          <w:ilvl w:val="0"/>
          <w:numId w:val="9"/>
        </w:numPr>
        <w:tabs>
          <w:tab w:val="left" w:pos="1020"/>
        </w:tabs>
        <w:spacing w:before="60" w:after="60" w:line="240" w:lineRule="atLeast"/>
        <w:jc w:val="both"/>
        <w:rPr>
          <w:rFonts w:eastAsia="Segoe UI"/>
        </w:rPr>
      </w:pPr>
      <w:r w:rsidRPr="00683F8B">
        <w:rPr>
          <w:rFonts w:eastAsia="Segoe UI"/>
        </w:rPr>
        <w:t>PPP Loan Forgiveness Applications (SBA Forms 3508</w:t>
      </w:r>
      <w:r w:rsidR="00E92E61">
        <w:rPr>
          <w:rFonts w:eastAsia="Segoe UI"/>
        </w:rPr>
        <w:t xml:space="preserve">, </w:t>
      </w:r>
      <w:r w:rsidRPr="00683F8B">
        <w:rPr>
          <w:rFonts w:eastAsia="Segoe UI"/>
        </w:rPr>
        <w:t>3508EZ</w:t>
      </w:r>
      <w:r w:rsidR="00E92E61">
        <w:rPr>
          <w:rFonts w:eastAsia="Segoe UI"/>
        </w:rPr>
        <w:t>, and 3508S</w:t>
      </w:r>
      <w:r w:rsidRPr="00683F8B">
        <w:rPr>
          <w:rFonts w:eastAsia="Segoe UI"/>
        </w:rPr>
        <w:t>) and Instructions.</w:t>
      </w:r>
    </w:p>
    <w:p w14:paraId="167415B1" w14:textId="0A793646" w:rsidR="0062471F" w:rsidRPr="00683F8B" w:rsidRDefault="00F5038E" w:rsidP="00F450A5">
      <w:pPr>
        <w:pStyle w:val="ListParagraph"/>
        <w:numPr>
          <w:ilvl w:val="0"/>
          <w:numId w:val="9"/>
        </w:numPr>
        <w:tabs>
          <w:tab w:val="left" w:pos="1020"/>
        </w:tabs>
        <w:spacing w:before="60" w:after="60" w:line="240" w:lineRule="atLeast"/>
        <w:jc w:val="both"/>
        <w:rPr>
          <w:rFonts w:eastAsia="Segoe UI"/>
        </w:rPr>
      </w:pPr>
      <w:r w:rsidRPr="00683F8B">
        <w:rPr>
          <w:rFonts w:eastAsia="Segoe UI"/>
        </w:rPr>
        <w:t>Consult SBA and Treasury</w:t>
      </w:r>
      <w:r w:rsidR="0062471F" w:rsidRPr="00683F8B">
        <w:rPr>
          <w:rFonts w:eastAsia="Segoe UI"/>
        </w:rPr>
        <w:t xml:space="preserve"> PPP guidance published</w:t>
      </w:r>
      <w:r w:rsidR="00E92E61">
        <w:rPr>
          <w:rFonts w:eastAsia="Segoe UI"/>
        </w:rPr>
        <w:t xml:space="preserve"> at </w:t>
      </w:r>
      <w:hyperlink r:id="rId11" w:history="1">
        <w:r w:rsidR="00E92E61" w:rsidRPr="008E407B">
          <w:rPr>
            <w:rStyle w:val="Hyperlink"/>
            <w:rFonts w:eastAsia="Segoe UI"/>
          </w:rPr>
          <w:t>www.sba.gov</w:t>
        </w:r>
      </w:hyperlink>
      <w:r w:rsidR="00E92E61">
        <w:rPr>
          <w:rFonts w:eastAsia="Segoe UI"/>
        </w:rPr>
        <w:t xml:space="preserve"> or</w:t>
      </w:r>
      <w:r w:rsidR="0062471F" w:rsidRPr="00683F8B">
        <w:rPr>
          <w:rFonts w:eastAsia="Segoe UI"/>
        </w:rPr>
        <w:t xml:space="preserve"> </w:t>
      </w:r>
      <w:hyperlink r:id="rId12" w:history="1">
        <w:r w:rsidR="0062471F" w:rsidRPr="00683F8B">
          <w:rPr>
            <w:rStyle w:val="Hyperlink"/>
            <w:rFonts w:eastAsia="Segoe UI"/>
          </w:rPr>
          <w:t>www.treasury.gov</w:t>
        </w:r>
      </w:hyperlink>
      <w:r w:rsidR="001956D2" w:rsidRPr="00683F8B">
        <w:rPr>
          <w:rFonts w:eastAsia="Segoe UI"/>
        </w:rPr>
        <w:t>.</w:t>
      </w:r>
    </w:p>
    <w:p w14:paraId="2FFE41D5" w14:textId="77777777" w:rsidR="00B24F61" w:rsidRPr="00CA3174" w:rsidRDefault="00B24F61" w:rsidP="00F5038E">
      <w:pPr>
        <w:pStyle w:val="ListParagraph"/>
        <w:jc w:val="both"/>
        <w:rPr>
          <w:rFonts w:eastAsia="Segoe UI"/>
          <w:b/>
        </w:rPr>
      </w:pPr>
    </w:p>
    <w:p w14:paraId="1467E3AE" w14:textId="3FE7DCE0" w:rsidR="00486679" w:rsidRPr="00683F8B" w:rsidRDefault="00647794" w:rsidP="00F5038E">
      <w:pPr>
        <w:pStyle w:val="ListParagraph"/>
        <w:numPr>
          <w:ilvl w:val="0"/>
          <w:numId w:val="7"/>
        </w:numPr>
        <w:jc w:val="both"/>
        <w:rPr>
          <w:rFonts w:eastAsia="Segoe UI"/>
          <w:b/>
        </w:rPr>
      </w:pPr>
      <w:r w:rsidRPr="00683F8B">
        <w:rPr>
          <w:rFonts w:eastAsia="Segoe UI"/>
          <w:b/>
        </w:rPr>
        <w:t>Determine</w:t>
      </w:r>
      <w:r w:rsidR="00486679" w:rsidRPr="00683F8B">
        <w:rPr>
          <w:rFonts w:eastAsia="Segoe UI"/>
          <w:b/>
        </w:rPr>
        <w:t xml:space="preserve"> </w:t>
      </w:r>
      <w:r w:rsidRPr="00683F8B">
        <w:rPr>
          <w:rFonts w:eastAsia="Segoe UI"/>
          <w:b/>
        </w:rPr>
        <w:t xml:space="preserve">which PPP </w:t>
      </w:r>
      <w:r w:rsidR="00486679" w:rsidRPr="00683F8B">
        <w:rPr>
          <w:rFonts w:eastAsia="Segoe UI"/>
          <w:b/>
        </w:rPr>
        <w:t>Forgiveness Application to use</w:t>
      </w:r>
      <w:r w:rsidR="00910ABC" w:rsidRPr="00683F8B">
        <w:rPr>
          <w:rFonts w:eastAsia="Segoe UI"/>
          <w:b/>
        </w:rPr>
        <w:t>.</w:t>
      </w:r>
    </w:p>
    <w:p w14:paraId="264E4249" w14:textId="77777777" w:rsidR="00C36F42" w:rsidRPr="003475BC" w:rsidRDefault="00C36F42" w:rsidP="00C36F42">
      <w:pPr>
        <w:pStyle w:val="ListParagraph"/>
        <w:tabs>
          <w:tab w:val="left" w:pos="1020"/>
        </w:tabs>
        <w:spacing w:before="60" w:after="60" w:line="240" w:lineRule="atLeast"/>
        <w:ind w:left="1080"/>
        <w:jc w:val="both"/>
        <w:rPr>
          <w:rFonts w:eastAsia="Segoe UI"/>
          <w:sz w:val="10"/>
          <w:szCs w:val="10"/>
        </w:rPr>
      </w:pPr>
    </w:p>
    <w:p w14:paraId="1CB98EAB" w14:textId="031DB8FC" w:rsidR="00F450A5" w:rsidRPr="00683F8B" w:rsidRDefault="00647794" w:rsidP="00F450A5">
      <w:pPr>
        <w:pStyle w:val="ListParagraph"/>
        <w:numPr>
          <w:ilvl w:val="0"/>
          <w:numId w:val="10"/>
        </w:numPr>
        <w:tabs>
          <w:tab w:val="left" w:pos="1020"/>
        </w:tabs>
        <w:spacing w:before="60" w:after="60" w:line="240" w:lineRule="atLeast"/>
        <w:jc w:val="both"/>
        <w:rPr>
          <w:rFonts w:eastAsia="Segoe UI"/>
        </w:rPr>
      </w:pPr>
      <w:r w:rsidRPr="00683F8B">
        <w:rPr>
          <w:rFonts w:eastAsia="Segoe UI"/>
        </w:rPr>
        <w:t>PPP Loan Forgiveness Application</w:t>
      </w:r>
      <w:r w:rsidRPr="00683F8B">
        <w:rPr>
          <w:rFonts w:eastAsia="Segoe UI"/>
          <w:b/>
        </w:rPr>
        <w:t xml:space="preserve"> </w:t>
      </w:r>
      <w:r w:rsidRPr="00683F8B">
        <w:rPr>
          <w:rFonts w:eastAsia="Segoe UI"/>
        </w:rPr>
        <w:t xml:space="preserve">“Standard” Form (SBA Form 3508) </w:t>
      </w:r>
    </w:p>
    <w:p w14:paraId="502643E5" w14:textId="1171313F" w:rsidR="00647794" w:rsidRDefault="00647794" w:rsidP="00F450A5">
      <w:pPr>
        <w:pStyle w:val="ListParagraph"/>
        <w:numPr>
          <w:ilvl w:val="0"/>
          <w:numId w:val="10"/>
        </w:numPr>
        <w:tabs>
          <w:tab w:val="left" w:pos="1020"/>
        </w:tabs>
        <w:spacing w:before="60" w:after="60" w:line="240" w:lineRule="atLeast"/>
        <w:jc w:val="both"/>
        <w:rPr>
          <w:rFonts w:eastAsia="Segoe UI"/>
        </w:rPr>
      </w:pPr>
      <w:r w:rsidRPr="00683F8B">
        <w:rPr>
          <w:rFonts w:eastAsia="Segoe UI"/>
        </w:rPr>
        <w:t>PPP Loan Forgiveness Application “EZ” Form (SBA 3508EZ)</w:t>
      </w:r>
    </w:p>
    <w:p w14:paraId="74805401" w14:textId="1A9FCBBC" w:rsidR="005A6951" w:rsidRDefault="005A6951" w:rsidP="005A6951">
      <w:pPr>
        <w:pStyle w:val="ListParagraph"/>
        <w:numPr>
          <w:ilvl w:val="0"/>
          <w:numId w:val="10"/>
        </w:numPr>
        <w:tabs>
          <w:tab w:val="left" w:pos="1020"/>
        </w:tabs>
        <w:spacing w:before="60" w:after="60" w:line="240" w:lineRule="atLeast"/>
        <w:jc w:val="both"/>
        <w:rPr>
          <w:rFonts w:eastAsia="Segoe UI"/>
        </w:rPr>
      </w:pPr>
      <w:r w:rsidRPr="00683F8B">
        <w:rPr>
          <w:rFonts w:eastAsia="Segoe UI"/>
        </w:rPr>
        <w:t>PPP Loan Forgiveness Application “</w:t>
      </w:r>
      <w:r>
        <w:rPr>
          <w:rFonts w:eastAsia="Segoe UI"/>
        </w:rPr>
        <w:t>S</w:t>
      </w:r>
      <w:r w:rsidRPr="00683F8B">
        <w:rPr>
          <w:rFonts w:eastAsia="Segoe UI"/>
        </w:rPr>
        <w:t>” Form (SBA 3508</w:t>
      </w:r>
      <w:r>
        <w:rPr>
          <w:rFonts w:eastAsia="Segoe UI"/>
        </w:rPr>
        <w:t>S</w:t>
      </w:r>
      <w:r w:rsidRPr="00683F8B">
        <w:rPr>
          <w:rFonts w:eastAsia="Segoe UI"/>
        </w:rPr>
        <w:t>)</w:t>
      </w:r>
    </w:p>
    <w:p w14:paraId="3BDB5812" w14:textId="14DE00BF" w:rsidR="00486679" w:rsidRPr="00CA3174" w:rsidRDefault="00486679" w:rsidP="00486679">
      <w:pPr>
        <w:jc w:val="both"/>
        <w:rPr>
          <w:rFonts w:eastAsia="Segoe UI"/>
          <w:b/>
        </w:rPr>
      </w:pPr>
    </w:p>
    <w:p w14:paraId="3FBC9148" w14:textId="2C8FC253" w:rsidR="00AC7E7E" w:rsidRPr="00683F8B" w:rsidRDefault="00116398" w:rsidP="00647794">
      <w:pPr>
        <w:pStyle w:val="ListParagraph"/>
        <w:numPr>
          <w:ilvl w:val="0"/>
          <w:numId w:val="7"/>
        </w:numPr>
        <w:jc w:val="both"/>
        <w:rPr>
          <w:rFonts w:eastAsia="Segoe UI"/>
          <w:b/>
        </w:rPr>
      </w:pPr>
      <w:r>
        <w:rPr>
          <w:rFonts w:eastAsia="Segoe UI"/>
          <w:b/>
        </w:rPr>
        <w:t xml:space="preserve">Determine </w:t>
      </w:r>
      <w:r w:rsidR="00ED57D5">
        <w:rPr>
          <w:rFonts w:eastAsia="Segoe UI"/>
          <w:b/>
        </w:rPr>
        <w:t>your forgiveness</w:t>
      </w:r>
      <w:r w:rsidR="00AC7E7E" w:rsidRPr="00683F8B">
        <w:rPr>
          <w:rFonts w:eastAsia="Segoe UI"/>
          <w:b/>
        </w:rPr>
        <w:t xml:space="preserve"> Covered Period.</w:t>
      </w:r>
    </w:p>
    <w:p w14:paraId="5041DD67" w14:textId="77777777" w:rsidR="00AC7E7E" w:rsidRPr="00CA3174" w:rsidRDefault="00AC7E7E" w:rsidP="00AC7E7E">
      <w:pPr>
        <w:jc w:val="both"/>
        <w:rPr>
          <w:rFonts w:eastAsia="Segoe UI"/>
          <w:b/>
          <w:sz w:val="10"/>
          <w:szCs w:val="10"/>
        </w:rPr>
      </w:pPr>
    </w:p>
    <w:p w14:paraId="39D532F8" w14:textId="374AFBD4" w:rsidR="00AC7E7E" w:rsidRDefault="00AC7E7E" w:rsidP="00AC7E7E">
      <w:pPr>
        <w:ind w:left="720"/>
        <w:jc w:val="both"/>
      </w:pPr>
      <w:r w:rsidRPr="00683F8B">
        <w:t xml:space="preserve">Your </w:t>
      </w:r>
      <w:r w:rsidR="00ED57D5">
        <w:t xml:space="preserve">forgiveness </w:t>
      </w:r>
      <w:r w:rsidRPr="00683F8B">
        <w:t xml:space="preserve">Covered Period begins on the date PPP loan proceeds </w:t>
      </w:r>
      <w:r w:rsidR="006A2550" w:rsidRPr="00683F8B">
        <w:t>we</w:t>
      </w:r>
      <w:r w:rsidRPr="00683F8B">
        <w:t>re disbursed</w:t>
      </w:r>
      <w:r w:rsidR="005406F0">
        <w:t xml:space="preserve"> and ends on a date of your selection, between </w:t>
      </w:r>
      <w:r w:rsidRPr="00683F8B">
        <w:t xml:space="preserve">8 weeks </w:t>
      </w:r>
      <w:r w:rsidR="005406F0">
        <w:t xml:space="preserve">and 24 weeks from the date of your </w:t>
      </w:r>
      <w:r w:rsidR="003B51A9">
        <w:t>loan’s disbursement</w:t>
      </w:r>
    </w:p>
    <w:p w14:paraId="1FD7782F" w14:textId="1E497F7B" w:rsidR="005406F0" w:rsidRDefault="005406F0" w:rsidP="00AC7E7E">
      <w:pPr>
        <w:ind w:left="720"/>
        <w:jc w:val="both"/>
        <w:rPr>
          <w:rFonts w:eastAsia="Segoe UI"/>
          <w:b/>
        </w:rPr>
      </w:pPr>
    </w:p>
    <w:p w14:paraId="71695850" w14:textId="0EF6F3FF" w:rsidR="00647794" w:rsidRPr="00683F8B" w:rsidRDefault="00647794" w:rsidP="00647794">
      <w:pPr>
        <w:pStyle w:val="ListParagraph"/>
        <w:numPr>
          <w:ilvl w:val="0"/>
          <w:numId w:val="7"/>
        </w:numPr>
        <w:jc w:val="both"/>
        <w:rPr>
          <w:rFonts w:eastAsia="Segoe UI"/>
          <w:b/>
        </w:rPr>
      </w:pPr>
      <w:r w:rsidRPr="00683F8B">
        <w:rPr>
          <w:rFonts w:eastAsia="Segoe UI"/>
          <w:b/>
        </w:rPr>
        <w:t xml:space="preserve">Determine </w:t>
      </w:r>
      <w:r w:rsidR="006A2550" w:rsidRPr="00683F8B">
        <w:rPr>
          <w:rFonts w:eastAsia="Segoe UI"/>
          <w:b/>
        </w:rPr>
        <w:t>when</w:t>
      </w:r>
      <w:r w:rsidRPr="00683F8B">
        <w:rPr>
          <w:rFonts w:eastAsia="Segoe UI"/>
          <w:b/>
        </w:rPr>
        <w:t xml:space="preserve"> you’re ready to submit your PPP Forgiveness Application</w:t>
      </w:r>
      <w:r w:rsidR="00910ABC" w:rsidRPr="00683F8B">
        <w:rPr>
          <w:rFonts w:eastAsia="Segoe UI"/>
          <w:b/>
        </w:rPr>
        <w:t>.</w:t>
      </w:r>
    </w:p>
    <w:p w14:paraId="716DF15E" w14:textId="77777777" w:rsidR="00647794" w:rsidRPr="003475BC" w:rsidRDefault="00647794" w:rsidP="00647794">
      <w:pPr>
        <w:jc w:val="both"/>
        <w:rPr>
          <w:rFonts w:eastAsia="Segoe UI"/>
          <w:b/>
          <w:sz w:val="10"/>
          <w:szCs w:val="10"/>
        </w:rPr>
      </w:pPr>
    </w:p>
    <w:p w14:paraId="21D18A2D" w14:textId="62C93C34" w:rsidR="00647794" w:rsidRPr="00D931FB" w:rsidRDefault="00C638D5" w:rsidP="00D931FB">
      <w:pPr>
        <w:pStyle w:val="ListParagraph"/>
        <w:tabs>
          <w:tab w:val="left" w:pos="1020"/>
        </w:tabs>
        <w:jc w:val="both"/>
        <w:rPr>
          <w:rFonts w:eastAsia="Segoe UI"/>
        </w:rPr>
      </w:pPr>
      <w:r>
        <w:rPr>
          <w:rFonts w:eastAsia="Segoe UI"/>
        </w:rPr>
        <w:t>You</w:t>
      </w:r>
      <w:r w:rsidR="00D931FB">
        <w:rPr>
          <w:rFonts w:eastAsia="Segoe UI"/>
        </w:rPr>
        <w:t xml:space="preserve"> may submit </w:t>
      </w:r>
      <w:r>
        <w:rPr>
          <w:rFonts w:eastAsia="Segoe UI"/>
        </w:rPr>
        <w:t>your F</w:t>
      </w:r>
      <w:r w:rsidR="00D931FB">
        <w:rPr>
          <w:rFonts w:eastAsia="Segoe UI"/>
        </w:rPr>
        <w:t xml:space="preserve">orgiveness </w:t>
      </w:r>
      <w:r>
        <w:rPr>
          <w:rFonts w:eastAsia="Segoe UI"/>
        </w:rPr>
        <w:t>A</w:t>
      </w:r>
      <w:r w:rsidR="001D2F1F" w:rsidRPr="00D931FB">
        <w:rPr>
          <w:rFonts w:eastAsia="Segoe UI"/>
        </w:rPr>
        <w:t>pplication any time on or before the</w:t>
      </w:r>
      <w:r w:rsidR="00D931FB">
        <w:rPr>
          <w:rFonts w:eastAsia="Segoe UI"/>
        </w:rPr>
        <w:t xml:space="preserve"> </w:t>
      </w:r>
      <w:r w:rsidR="001D2F1F" w:rsidRPr="00D931FB">
        <w:rPr>
          <w:rFonts w:eastAsia="Segoe UI"/>
        </w:rPr>
        <w:t xml:space="preserve">maturity date of </w:t>
      </w:r>
      <w:r>
        <w:rPr>
          <w:rFonts w:eastAsia="Segoe UI"/>
        </w:rPr>
        <w:t>your</w:t>
      </w:r>
      <w:r w:rsidR="001D2F1F" w:rsidRPr="00D931FB">
        <w:rPr>
          <w:rFonts w:eastAsia="Segoe UI"/>
        </w:rPr>
        <w:t xml:space="preserve"> </w:t>
      </w:r>
      <w:r w:rsidR="00D931FB">
        <w:rPr>
          <w:rFonts w:eastAsia="Segoe UI"/>
        </w:rPr>
        <w:t xml:space="preserve">PPP </w:t>
      </w:r>
      <w:r w:rsidR="001D2F1F" w:rsidRPr="00D931FB">
        <w:rPr>
          <w:rFonts w:eastAsia="Segoe UI"/>
        </w:rPr>
        <w:t>loan</w:t>
      </w:r>
      <w:r w:rsidR="00D931FB">
        <w:rPr>
          <w:rFonts w:eastAsia="Segoe UI"/>
        </w:rPr>
        <w:t>.</w:t>
      </w:r>
      <w:r w:rsidR="001D2F1F" w:rsidRPr="00D931FB">
        <w:rPr>
          <w:rFonts w:eastAsia="Segoe UI"/>
        </w:rPr>
        <w:t xml:space="preserve"> </w:t>
      </w:r>
      <w:r w:rsidR="00D931FB">
        <w:rPr>
          <w:rFonts w:eastAsia="Segoe UI"/>
        </w:rPr>
        <w:t xml:space="preserve"> </w:t>
      </w:r>
      <w:r w:rsidR="00647794" w:rsidRPr="00D931FB">
        <w:rPr>
          <w:rFonts w:eastAsia="Segoe UI"/>
        </w:rPr>
        <w:t xml:space="preserve">You can submit your Forgiveness Application before the end of the </w:t>
      </w:r>
      <w:r w:rsidR="00910ABC" w:rsidRPr="00D931FB">
        <w:rPr>
          <w:rFonts w:eastAsia="Segoe UI"/>
        </w:rPr>
        <w:t>C</w:t>
      </w:r>
      <w:r w:rsidR="00647794" w:rsidRPr="00D931FB">
        <w:rPr>
          <w:rFonts w:eastAsia="Segoe UI"/>
        </w:rPr>
        <w:t xml:space="preserve">overed </w:t>
      </w:r>
      <w:r w:rsidR="00910ABC" w:rsidRPr="00D931FB">
        <w:rPr>
          <w:rFonts w:eastAsia="Segoe UI"/>
        </w:rPr>
        <w:t>P</w:t>
      </w:r>
      <w:r w:rsidR="00647794" w:rsidRPr="00D931FB">
        <w:rPr>
          <w:rFonts w:eastAsia="Segoe UI"/>
        </w:rPr>
        <w:t xml:space="preserve">eriod, provided that </w:t>
      </w:r>
      <w:r w:rsidR="00910ABC" w:rsidRPr="00D931FB">
        <w:rPr>
          <w:rFonts w:eastAsia="Segoe UI"/>
        </w:rPr>
        <w:t>you’ve</w:t>
      </w:r>
      <w:r w:rsidR="00647794" w:rsidRPr="00D931FB">
        <w:rPr>
          <w:rFonts w:eastAsia="Segoe UI"/>
        </w:rPr>
        <w:t xml:space="preserve"> used all of the </w:t>
      </w:r>
      <w:r w:rsidR="00910ABC" w:rsidRPr="00D931FB">
        <w:rPr>
          <w:rFonts w:eastAsia="Segoe UI"/>
        </w:rPr>
        <w:t xml:space="preserve">PPP </w:t>
      </w:r>
      <w:r w:rsidR="00647794" w:rsidRPr="00D931FB">
        <w:rPr>
          <w:rFonts w:eastAsia="Segoe UI"/>
        </w:rPr>
        <w:t xml:space="preserve">loan proceeds for which forgiveness </w:t>
      </w:r>
      <w:r w:rsidR="00910ABC" w:rsidRPr="00D931FB">
        <w:rPr>
          <w:rFonts w:eastAsia="Segoe UI"/>
        </w:rPr>
        <w:t>is being requested</w:t>
      </w:r>
      <w:r w:rsidR="00647794" w:rsidRPr="00D931FB">
        <w:rPr>
          <w:rFonts w:eastAsia="Segoe UI"/>
        </w:rPr>
        <w:t>.</w:t>
      </w:r>
    </w:p>
    <w:p w14:paraId="0B4501F9" w14:textId="77777777" w:rsidR="00647794" w:rsidRPr="00CA3174" w:rsidRDefault="00647794" w:rsidP="00647794">
      <w:pPr>
        <w:pStyle w:val="ListParagraph"/>
        <w:ind w:left="360"/>
        <w:jc w:val="both"/>
        <w:rPr>
          <w:rFonts w:eastAsia="Segoe UI"/>
          <w:b/>
        </w:rPr>
      </w:pPr>
    </w:p>
    <w:p w14:paraId="46725DF9" w14:textId="77777777" w:rsidR="006A2550" w:rsidRPr="00683F8B" w:rsidRDefault="00B24F61" w:rsidP="00F5038E">
      <w:pPr>
        <w:pStyle w:val="ListParagraph"/>
        <w:numPr>
          <w:ilvl w:val="0"/>
          <w:numId w:val="7"/>
        </w:numPr>
        <w:jc w:val="both"/>
        <w:rPr>
          <w:rFonts w:eastAsia="Segoe UI"/>
          <w:b/>
        </w:rPr>
      </w:pPr>
      <w:r w:rsidRPr="00683F8B">
        <w:rPr>
          <w:rFonts w:eastAsia="Segoe UI"/>
          <w:b/>
        </w:rPr>
        <w:t>Gather the necessary documentation</w:t>
      </w:r>
      <w:r w:rsidR="006A2550" w:rsidRPr="00683F8B">
        <w:rPr>
          <w:rFonts w:eastAsia="Segoe UI"/>
          <w:b/>
        </w:rPr>
        <w:t>.</w:t>
      </w:r>
    </w:p>
    <w:p w14:paraId="12997E69" w14:textId="77777777" w:rsidR="006A2550" w:rsidRPr="00CA3174" w:rsidRDefault="006A2550" w:rsidP="006A2550">
      <w:pPr>
        <w:pStyle w:val="ListParagraph"/>
        <w:ind w:left="360"/>
        <w:jc w:val="both"/>
        <w:rPr>
          <w:rFonts w:eastAsia="Segoe UI"/>
          <w:b/>
          <w:sz w:val="10"/>
          <w:szCs w:val="10"/>
        </w:rPr>
      </w:pPr>
    </w:p>
    <w:p w14:paraId="2D8DD549" w14:textId="26C019B4" w:rsidR="00B24F61" w:rsidRPr="00683F8B" w:rsidRDefault="006A2550" w:rsidP="00D35D53">
      <w:pPr>
        <w:pStyle w:val="ListParagraph"/>
        <w:jc w:val="both"/>
        <w:rPr>
          <w:rFonts w:eastAsia="Segoe UI"/>
        </w:rPr>
      </w:pPr>
      <w:r w:rsidRPr="00683F8B">
        <w:rPr>
          <w:rFonts w:eastAsia="Segoe UI"/>
        </w:rPr>
        <w:t>Refer to the flip side of this Checklist for documentation requirements.</w:t>
      </w:r>
      <w:r w:rsidR="00D35D53">
        <w:rPr>
          <w:rFonts w:eastAsia="Segoe UI"/>
        </w:rPr>
        <w:t xml:space="preserve">  </w:t>
      </w:r>
    </w:p>
    <w:p w14:paraId="6C050D36" w14:textId="320AAF17" w:rsidR="004509D0" w:rsidRPr="00683F8B" w:rsidRDefault="004509D0" w:rsidP="00683F8B">
      <w:pPr>
        <w:tabs>
          <w:tab w:val="left" w:pos="1020"/>
        </w:tabs>
        <w:jc w:val="both"/>
        <w:rPr>
          <w:rFonts w:eastAsia="Segoe UI"/>
        </w:rPr>
      </w:pPr>
    </w:p>
    <w:p w14:paraId="19A9D3F9" w14:textId="42FF8B8D" w:rsidR="00C20181" w:rsidRDefault="00C20181" w:rsidP="00F5038E">
      <w:pPr>
        <w:pStyle w:val="ListParagraph"/>
        <w:numPr>
          <w:ilvl w:val="0"/>
          <w:numId w:val="7"/>
        </w:numPr>
        <w:jc w:val="both"/>
        <w:rPr>
          <w:rFonts w:eastAsia="Segoe UI"/>
          <w:b/>
        </w:rPr>
      </w:pPr>
      <w:r>
        <w:rPr>
          <w:rFonts w:eastAsia="Segoe UI"/>
          <w:b/>
        </w:rPr>
        <w:t>Complete the Forgiveness Expense Worksheet</w:t>
      </w:r>
    </w:p>
    <w:p w14:paraId="609975F0" w14:textId="0D704BB9" w:rsidR="00C20181" w:rsidRPr="00CA3174" w:rsidRDefault="00C20181" w:rsidP="00C20181">
      <w:pPr>
        <w:jc w:val="both"/>
        <w:rPr>
          <w:rFonts w:eastAsia="Segoe UI"/>
          <w:b/>
          <w:sz w:val="10"/>
          <w:szCs w:val="10"/>
        </w:rPr>
      </w:pPr>
    </w:p>
    <w:p w14:paraId="2815A8B0" w14:textId="6946AD39" w:rsidR="00C20181" w:rsidRPr="00C20181" w:rsidRDefault="00C20181" w:rsidP="00C20181">
      <w:pPr>
        <w:ind w:left="720"/>
        <w:jc w:val="both"/>
        <w:rPr>
          <w:rFonts w:eastAsia="Segoe UI"/>
        </w:rPr>
      </w:pPr>
      <w:r w:rsidRPr="00C20181">
        <w:rPr>
          <w:rFonts w:eastAsia="Segoe UI"/>
        </w:rPr>
        <w:t xml:space="preserve">Download the Worksheet from our website.  This Worksheet will help you itemize and calculate eligible expenses. </w:t>
      </w:r>
    </w:p>
    <w:p w14:paraId="5CC6062D" w14:textId="77777777" w:rsidR="00C20181" w:rsidRDefault="00C20181" w:rsidP="00C20181">
      <w:pPr>
        <w:pStyle w:val="ListParagraph"/>
        <w:ind w:left="360"/>
        <w:jc w:val="both"/>
        <w:rPr>
          <w:rFonts w:eastAsia="Segoe UI"/>
          <w:b/>
        </w:rPr>
      </w:pPr>
    </w:p>
    <w:p w14:paraId="620E1243" w14:textId="2335A9F6" w:rsidR="00B24F61" w:rsidRPr="00683F8B" w:rsidRDefault="00B24F61" w:rsidP="00F5038E">
      <w:pPr>
        <w:pStyle w:val="ListParagraph"/>
        <w:numPr>
          <w:ilvl w:val="0"/>
          <w:numId w:val="7"/>
        </w:numPr>
        <w:jc w:val="both"/>
        <w:rPr>
          <w:rFonts w:eastAsia="Segoe UI"/>
          <w:b/>
        </w:rPr>
      </w:pPr>
      <w:r w:rsidRPr="00683F8B">
        <w:rPr>
          <w:rFonts w:eastAsia="Segoe UI"/>
          <w:b/>
        </w:rPr>
        <w:t xml:space="preserve">Complete </w:t>
      </w:r>
      <w:r w:rsidR="006A2550" w:rsidRPr="00683F8B">
        <w:rPr>
          <w:rFonts w:eastAsia="Segoe UI"/>
          <w:b/>
        </w:rPr>
        <w:t>and submit your</w:t>
      </w:r>
      <w:r w:rsidR="00105220" w:rsidRPr="00683F8B">
        <w:rPr>
          <w:rFonts w:eastAsia="Segoe UI"/>
          <w:b/>
        </w:rPr>
        <w:t xml:space="preserve"> </w:t>
      </w:r>
      <w:r w:rsidRPr="00683F8B">
        <w:rPr>
          <w:rFonts w:eastAsia="Segoe UI"/>
          <w:b/>
        </w:rPr>
        <w:t xml:space="preserve">PPP </w:t>
      </w:r>
      <w:r w:rsidR="00C638D5">
        <w:rPr>
          <w:rFonts w:eastAsia="Segoe UI"/>
          <w:b/>
        </w:rPr>
        <w:t>Forgiveness Application</w:t>
      </w:r>
      <w:r w:rsidR="00C36F42" w:rsidRPr="00683F8B">
        <w:rPr>
          <w:rFonts w:eastAsia="Segoe UI"/>
          <w:b/>
        </w:rPr>
        <w:t>.</w:t>
      </w:r>
    </w:p>
    <w:p w14:paraId="1F292B68" w14:textId="2FA2033E" w:rsidR="00135B8C" w:rsidRPr="00CA3174" w:rsidRDefault="00135B8C" w:rsidP="00647794">
      <w:pPr>
        <w:tabs>
          <w:tab w:val="left" w:pos="1020"/>
        </w:tabs>
        <w:jc w:val="both"/>
        <w:rPr>
          <w:rFonts w:eastAsia="Segoe UI"/>
          <w:sz w:val="10"/>
          <w:szCs w:val="10"/>
        </w:rPr>
      </w:pPr>
    </w:p>
    <w:p w14:paraId="35D62805" w14:textId="21E3FCC4" w:rsidR="00135B8C" w:rsidRPr="00683F8B" w:rsidRDefault="00A96CF9" w:rsidP="00F450A5">
      <w:pPr>
        <w:pStyle w:val="ListParagraph"/>
        <w:tabs>
          <w:tab w:val="left" w:pos="1020"/>
        </w:tabs>
        <w:jc w:val="both"/>
        <w:rPr>
          <w:rFonts w:eastAsia="Segoe UI"/>
          <w:b/>
        </w:rPr>
      </w:pPr>
      <w:r w:rsidRPr="003B3F6E">
        <w:rPr>
          <w:rFonts w:eastAsia="Segoe UI"/>
        </w:rPr>
        <w:t>When you’re ready,</w:t>
      </w:r>
      <w:r w:rsidRPr="003B3F6E">
        <w:rPr>
          <w:rFonts w:eastAsia="Segoe UI"/>
          <w:b/>
        </w:rPr>
        <w:t xml:space="preserve"> </w:t>
      </w:r>
      <w:r w:rsidR="001A3E4B" w:rsidRPr="003B3F6E">
        <w:rPr>
          <w:rFonts w:eastAsia="Segoe UI"/>
        </w:rPr>
        <w:t xml:space="preserve">please connect </w:t>
      </w:r>
      <w:r w:rsidR="003B3F6E">
        <w:rPr>
          <w:rFonts w:eastAsia="Segoe UI"/>
        </w:rPr>
        <w:t xml:space="preserve">with our PPP loan forgiveness specialists at 1-800-339-6573 ext. 2586. </w:t>
      </w:r>
    </w:p>
    <w:p w14:paraId="6E0A6725" w14:textId="4BC56794" w:rsidR="00F73079" w:rsidRPr="00683F8B" w:rsidRDefault="00F73079" w:rsidP="00513C0A">
      <w:pPr>
        <w:jc w:val="both"/>
        <w:rPr>
          <w:rFonts w:eastAsia="Segoe UI"/>
        </w:rPr>
      </w:pPr>
    </w:p>
    <w:p w14:paraId="1F2BCAA9" w14:textId="4797E743" w:rsidR="00F73079" w:rsidRPr="00683F8B" w:rsidRDefault="00F73079" w:rsidP="00F5038E">
      <w:pPr>
        <w:pStyle w:val="ListParagraph"/>
        <w:numPr>
          <w:ilvl w:val="0"/>
          <w:numId w:val="7"/>
        </w:numPr>
        <w:tabs>
          <w:tab w:val="left" w:pos="1020"/>
        </w:tabs>
        <w:jc w:val="both"/>
        <w:rPr>
          <w:rFonts w:eastAsia="Segoe UI"/>
          <w:b/>
        </w:rPr>
      </w:pPr>
      <w:r w:rsidRPr="00683F8B">
        <w:rPr>
          <w:rFonts w:eastAsia="Segoe UI"/>
          <w:b/>
        </w:rPr>
        <w:t xml:space="preserve">What’s </w:t>
      </w:r>
      <w:proofErr w:type="gramStart"/>
      <w:r w:rsidRPr="00683F8B">
        <w:rPr>
          <w:rFonts w:eastAsia="Segoe UI"/>
          <w:b/>
        </w:rPr>
        <w:t>Next</w:t>
      </w:r>
      <w:proofErr w:type="gramEnd"/>
      <w:r w:rsidRPr="00683F8B">
        <w:rPr>
          <w:rFonts w:eastAsia="Segoe UI"/>
          <w:b/>
        </w:rPr>
        <w:t>?</w:t>
      </w:r>
    </w:p>
    <w:p w14:paraId="64F02378" w14:textId="77777777" w:rsidR="00F73079" w:rsidRPr="00CA3174" w:rsidRDefault="00F73079" w:rsidP="00F5038E">
      <w:pPr>
        <w:pStyle w:val="ListParagraph"/>
        <w:jc w:val="both"/>
        <w:rPr>
          <w:rFonts w:eastAsia="Segoe UI"/>
          <w:sz w:val="10"/>
          <w:szCs w:val="10"/>
        </w:rPr>
      </w:pPr>
    </w:p>
    <w:p w14:paraId="2D45AC4F" w14:textId="3A0E8B1E" w:rsidR="00F73079" w:rsidRPr="00683F8B" w:rsidRDefault="00F73079" w:rsidP="00F450A5">
      <w:pPr>
        <w:tabs>
          <w:tab w:val="left" w:pos="1020"/>
        </w:tabs>
        <w:ind w:left="720"/>
        <w:jc w:val="both"/>
      </w:pPr>
      <w:r w:rsidRPr="00683F8B">
        <w:rPr>
          <w:rFonts w:eastAsia="Segoe UI"/>
        </w:rPr>
        <w:t xml:space="preserve">We will review </w:t>
      </w:r>
      <w:r w:rsidR="00DF2E39" w:rsidRPr="00683F8B">
        <w:rPr>
          <w:rFonts w:eastAsia="Segoe UI"/>
        </w:rPr>
        <w:t>your</w:t>
      </w:r>
      <w:r w:rsidRPr="00683F8B">
        <w:rPr>
          <w:rFonts w:eastAsia="Segoe UI"/>
        </w:rPr>
        <w:t xml:space="preserve"> </w:t>
      </w:r>
      <w:r w:rsidR="00647794" w:rsidRPr="00683F8B">
        <w:rPr>
          <w:rFonts w:eastAsia="Segoe UI"/>
        </w:rPr>
        <w:t>PPP Forgiveness A</w:t>
      </w:r>
      <w:r w:rsidRPr="00683F8B">
        <w:rPr>
          <w:rFonts w:eastAsia="Segoe UI"/>
        </w:rPr>
        <w:t>pplicat</w:t>
      </w:r>
      <w:r w:rsidR="00125744" w:rsidRPr="00683F8B">
        <w:rPr>
          <w:rFonts w:eastAsia="Segoe UI"/>
        </w:rPr>
        <w:t xml:space="preserve">ion, including the </w:t>
      </w:r>
      <w:r w:rsidR="00125744" w:rsidRPr="00683F8B">
        <w:t xml:space="preserve">calculations and supporting documents </w:t>
      </w:r>
      <w:r w:rsidR="00484EC2">
        <w:t>you used to determine</w:t>
      </w:r>
      <w:r w:rsidR="00125744" w:rsidRPr="00683F8B">
        <w:t xml:space="preserve"> </w:t>
      </w:r>
      <w:r w:rsidR="00484EC2">
        <w:t xml:space="preserve">the </w:t>
      </w:r>
      <w:r w:rsidR="00125744" w:rsidRPr="00683F8B">
        <w:t xml:space="preserve">amounts eligible for forgiveness.  If necessary, we’ll contact you </w:t>
      </w:r>
      <w:r w:rsidR="001D3D38" w:rsidRPr="00683F8B">
        <w:t xml:space="preserve">to request additional materials or </w:t>
      </w:r>
      <w:r w:rsidR="00125744" w:rsidRPr="00683F8B">
        <w:t>resolve any issues identified during our review.</w:t>
      </w:r>
      <w:r w:rsidR="001D3D38" w:rsidRPr="00683F8B">
        <w:t xml:space="preserve">  Once we’re able to </w:t>
      </w:r>
      <w:r w:rsidR="00484EC2">
        <w:t xml:space="preserve">confirm the calculations and validate </w:t>
      </w:r>
      <w:r w:rsidR="00C638D5">
        <w:t xml:space="preserve">that </w:t>
      </w:r>
      <w:r w:rsidR="00484EC2">
        <w:t>you provided the necessary documents</w:t>
      </w:r>
      <w:r w:rsidR="001D3D38" w:rsidRPr="00683F8B">
        <w:t xml:space="preserve"> </w:t>
      </w:r>
      <w:r w:rsidR="00C638D5">
        <w:t>with</w:t>
      </w:r>
      <w:r w:rsidR="001D3D38" w:rsidRPr="00683F8B">
        <w:t xml:space="preserve"> your Forgiveness Application, we’ll submit your forgiveness request to the SBA.  </w:t>
      </w:r>
      <w:r w:rsidR="00F450A5" w:rsidRPr="00683F8B">
        <w:t xml:space="preserve">We’ll notify you of the SBA’s final determination, which could take up to 90 days after we’ve submitted your forgiveness request. </w:t>
      </w:r>
      <w:r w:rsidR="006A2550" w:rsidRPr="00683F8B">
        <w:t>You won't have to start making payments on your PPP loan</w:t>
      </w:r>
      <w:r w:rsidR="00484EC2">
        <w:t>, if any are required,</w:t>
      </w:r>
      <w:r w:rsidR="006A2550" w:rsidRPr="00683F8B">
        <w:t xml:space="preserve"> until the SBA </w:t>
      </w:r>
      <w:r w:rsidR="00C638D5">
        <w:t>issues</w:t>
      </w:r>
      <w:r w:rsidR="006A2550" w:rsidRPr="00683F8B">
        <w:t xml:space="preserve"> a decision on your request.</w:t>
      </w:r>
      <w:r w:rsidR="00F450A5" w:rsidRPr="00683F8B">
        <w:t xml:space="preserve"> </w:t>
      </w:r>
    </w:p>
    <w:p w14:paraId="6C4A3F8F" w14:textId="2351C0D7" w:rsidR="00F73079" w:rsidRDefault="00F73079" w:rsidP="00F73079">
      <w:pPr>
        <w:pStyle w:val="ListParagraph"/>
        <w:ind w:left="360"/>
        <w:rPr>
          <w:rFonts w:eastAsia="Segoe UI"/>
          <w:b/>
          <w:sz w:val="24"/>
          <w:szCs w:val="24"/>
        </w:rPr>
      </w:pPr>
    </w:p>
    <w:p w14:paraId="19BF7400" w14:textId="394D0F76" w:rsidR="00C43CD2" w:rsidRDefault="00E95E55" w:rsidP="00596810">
      <w:pPr>
        <w:tabs>
          <w:tab w:val="left" w:pos="2529"/>
          <w:tab w:val="center" w:pos="5616"/>
        </w:tabs>
        <w:ind w:left="144" w:right="288"/>
        <w:contextualSpacing/>
        <w:textAlignment w:val="baseline"/>
        <w:rPr>
          <w:rFonts w:ascii="Myriad Pro" w:eastAsia="Segoe UI" w:hAnsi="Myriad Pro"/>
          <w:b/>
          <w:caps/>
          <w:color w:val="000000"/>
          <w:sz w:val="32"/>
          <w:szCs w:val="32"/>
        </w:rPr>
      </w:pPr>
      <w:r>
        <w:rPr>
          <w:rFonts w:ascii="Myriad Pro" w:eastAsia="Segoe UI" w:hAnsi="Myriad Pro"/>
          <w:b/>
          <w:caps/>
          <w:color w:val="000000"/>
          <w:sz w:val="32"/>
          <w:szCs w:val="32"/>
        </w:rPr>
        <w:lastRenderedPageBreak/>
        <w:tab/>
      </w:r>
    </w:p>
    <w:p w14:paraId="5C56F1F7" w14:textId="77777777" w:rsidR="00C43CD2" w:rsidRDefault="00C43CD2">
      <w:pPr>
        <w:rPr>
          <w:rFonts w:ascii="Myriad Pro" w:eastAsia="Segoe UI" w:hAnsi="Myriad Pro"/>
          <w:b/>
          <w:caps/>
          <w:color w:val="000000"/>
          <w:sz w:val="32"/>
          <w:szCs w:val="32"/>
        </w:rPr>
      </w:pPr>
      <w:r>
        <w:rPr>
          <w:rFonts w:ascii="Myriad Pro" w:eastAsia="Segoe UI" w:hAnsi="Myriad Pro"/>
          <w:b/>
          <w:caps/>
          <w:color w:val="000000"/>
          <w:sz w:val="32"/>
          <w:szCs w:val="32"/>
        </w:rPr>
        <w:br w:type="page"/>
      </w:r>
    </w:p>
    <w:p w14:paraId="5889E078" w14:textId="72B80C5E" w:rsidR="00E95E55" w:rsidRPr="00C86BA4" w:rsidRDefault="00E95E55" w:rsidP="00596810">
      <w:pPr>
        <w:tabs>
          <w:tab w:val="left" w:pos="2529"/>
          <w:tab w:val="center" w:pos="5616"/>
        </w:tabs>
        <w:ind w:left="144" w:right="288"/>
        <w:contextualSpacing/>
        <w:textAlignment w:val="baseline"/>
        <w:rPr>
          <w:rFonts w:eastAsia="Segoe UI"/>
          <w:b/>
          <w:caps/>
          <w:color w:val="000000"/>
          <w:sz w:val="32"/>
          <w:szCs w:val="32"/>
        </w:rPr>
      </w:pPr>
      <w:r w:rsidRPr="00C86BA4">
        <w:rPr>
          <w:rFonts w:eastAsia="Segoe UI"/>
          <w:b/>
          <w:caps/>
          <w:color w:val="000000"/>
          <w:sz w:val="32"/>
          <w:szCs w:val="32"/>
        </w:rPr>
        <w:lastRenderedPageBreak/>
        <w:tab/>
      </w:r>
      <w:r>
        <w:rPr>
          <w:rFonts w:eastAsia="Segoe UI"/>
          <w:b/>
          <w:caps/>
          <w:color w:val="000000"/>
          <w:sz w:val="32"/>
          <w:szCs w:val="32"/>
        </w:rPr>
        <w:t xml:space="preserve">SBA </w:t>
      </w:r>
      <w:r w:rsidRPr="00C86BA4">
        <w:rPr>
          <w:rFonts w:eastAsia="Segoe UI"/>
          <w:b/>
          <w:caps/>
          <w:color w:val="000000"/>
          <w:sz w:val="32"/>
          <w:szCs w:val="32"/>
        </w:rPr>
        <w:t>Paycheck Protection Program</w:t>
      </w:r>
    </w:p>
    <w:p w14:paraId="3C75441F" w14:textId="1BB5CD7E" w:rsidR="00E95E55" w:rsidRPr="00C86BA4" w:rsidRDefault="00E95E55" w:rsidP="00E95E55">
      <w:pPr>
        <w:tabs>
          <w:tab w:val="left" w:pos="2529"/>
          <w:tab w:val="center" w:pos="5616"/>
        </w:tabs>
        <w:ind w:left="144" w:right="288"/>
        <w:contextualSpacing/>
        <w:jc w:val="center"/>
        <w:textAlignment w:val="baseline"/>
        <w:rPr>
          <w:rFonts w:eastAsia="Segoe UI"/>
          <w:b/>
          <w:caps/>
          <w:color w:val="000000"/>
        </w:rPr>
      </w:pPr>
      <w:r>
        <w:rPr>
          <w:rFonts w:eastAsia="Segoe UI"/>
          <w:b/>
          <w:caps/>
          <w:color w:val="000000"/>
        </w:rPr>
        <w:t>Documentation Checklist</w:t>
      </w:r>
      <w:r w:rsidR="00D35D53">
        <w:rPr>
          <w:rStyle w:val="FootnoteReference"/>
          <w:rFonts w:eastAsia="Segoe UI"/>
          <w:b/>
          <w:caps/>
          <w:color w:val="000000"/>
        </w:rPr>
        <w:footnoteReference w:id="1"/>
      </w:r>
    </w:p>
    <w:p w14:paraId="79C31BA5" w14:textId="77777777" w:rsidR="00E95E55" w:rsidRPr="00B24F61" w:rsidRDefault="00E95E55" w:rsidP="00E95E55">
      <w:pPr>
        <w:pBdr>
          <w:bottom w:val="single" w:sz="12" w:space="1" w:color="auto"/>
        </w:pBdr>
        <w:contextualSpacing/>
        <w:textAlignment w:val="baseline"/>
        <w:rPr>
          <w:rFonts w:eastAsia="Segoe UI"/>
          <w:b/>
          <w:color w:val="000000"/>
          <w:sz w:val="4"/>
          <w:szCs w:val="4"/>
        </w:rPr>
      </w:pPr>
    </w:p>
    <w:p w14:paraId="74206DE5" w14:textId="4E194E56" w:rsidR="00453AA3" w:rsidRPr="006B6966" w:rsidRDefault="00453AA3" w:rsidP="00E95E55">
      <w:pPr>
        <w:contextualSpacing/>
        <w:textAlignment w:val="baseline"/>
        <w:rPr>
          <w:rFonts w:eastAsia="Segoe UI"/>
          <w:b/>
          <w:smallCaps/>
          <w:color w:val="000000"/>
          <w:sz w:val="20"/>
          <w:szCs w:val="20"/>
        </w:rPr>
      </w:pPr>
    </w:p>
    <w:p w14:paraId="4FF5DC07" w14:textId="62790BFF" w:rsidR="00C36F42" w:rsidRPr="00E95E55" w:rsidRDefault="00E95E55" w:rsidP="00E95E55">
      <w:pPr>
        <w:pStyle w:val="ListParagraph"/>
        <w:numPr>
          <w:ilvl w:val="0"/>
          <w:numId w:val="14"/>
        </w:numPr>
        <w:rPr>
          <w:rFonts w:eastAsia="Segoe UI"/>
          <w:b/>
          <w:sz w:val="24"/>
          <w:szCs w:val="24"/>
        </w:rPr>
      </w:pPr>
      <w:r>
        <w:rPr>
          <w:rFonts w:eastAsia="Segoe UI"/>
          <w:b/>
          <w:sz w:val="24"/>
          <w:szCs w:val="24"/>
        </w:rPr>
        <w:t xml:space="preserve">Payroll Documentation. </w:t>
      </w:r>
      <w:r w:rsidRPr="00290DC0">
        <w:t xml:space="preserve">Documentation verifying the eligible cash compensation and non-cash benefit payments from the Covered Period </w:t>
      </w:r>
      <w:r w:rsidR="00453AA3">
        <w:t>(</w:t>
      </w:r>
      <w:r w:rsidRPr="00290DC0">
        <w:t>or the Alternative Payroll Covered Period</w:t>
      </w:r>
      <w:r w:rsidR="00453AA3">
        <w:t>)</w:t>
      </w:r>
      <w:r w:rsidRPr="00290DC0">
        <w:t xml:space="preserve"> </w:t>
      </w:r>
      <w:r>
        <w:t>should consist</w:t>
      </w:r>
      <w:r w:rsidRPr="00290DC0">
        <w:t xml:space="preserve"> of </w:t>
      </w:r>
      <w:r w:rsidRPr="00E95E55">
        <w:t>each</w:t>
      </w:r>
      <w:r w:rsidRPr="00290DC0">
        <w:t xml:space="preserve"> of the following:</w:t>
      </w:r>
    </w:p>
    <w:p w14:paraId="0E81BDB1" w14:textId="24BFE7AD" w:rsidR="00E95E55" w:rsidRPr="003D6864" w:rsidRDefault="00E95E55" w:rsidP="00E95E55">
      <w:pPr>
        <w:pStyle w:val="ListParagraph"/>
        <w:ind w:left="360"/>
        <w:rPr>
          <w:rFonts w:eastAsia="Segoe UI"/>
          <w:b/>
          <w:sz w:val="10"/>
          <w:szCs w:val="10"/>
        </w:rPr>
      </w:pPr>
    </w:p>
    <w:p w14:paraId="63C6746C" w14:textId="6CDF27EB" w:rsidR="00E95E55" w:rsidRPr="00290DC0" w:rsidRDefault="00E561C9" w:rsidP="00E95E55">
      <w:pPr>
        <w:pStyle w:val="ListParagraph"/>
      </w:pPr>
      <w:sdt>
        <w:sdtPr>
          <w:rPr>
            <w:b/>
          </w:rPr>
          <w:id w:val="-1684504646"/>
          <w14:checkbox>
            <w14:checked w14:val="0"/>
            <w14:checkedState w14:val="2612" w14:font="MS Gothic"/>
            <w14:uncheckedState w14:val="2610" w14:font="MS Gothic"/>
          </w14:checkbox>
        </w:sdtPr>
        <w:sdtEndPr/>
        <w:sdtContent>
          <w:r w:rsidR="00612664">
            <w:rPr>
              <w:rFonts w:ascii="MS Gothic" w:eastAsia="MS Gothic" w:hAnsi="MS Gothic" w:hint="eastAsia"/>
              <w:b/>
            </w:rPr>
            <w:t>☐</w:t>
          </w:r>
        </w:sdtContent>
      </w:sdt>
      <w:r w:rsidR="00E95E55" w:rsidRPr="00290DC0">
        <w:rPr>
          <w:b/>
        </w:rPr>
        <w:t xml:space="preserve"> </w:t>
      </w:r>
      <w:r w:rsidR="00E95E55" w:rsidRPr="00290DC0">
        <w:t xml:space="preserve">Account statements or third-party payroll service provider reports documenting the amount of cash compensation paid to employees. </w:t>
      </w:r>
    </w:p>
    <w:p w14:paraId="23C01788" w14:textId="77777777" w:rsidR="00E95E55" w:rsidRPr="00453AA3" w:rsidRDefault="00E95E55" w:rsidP="00E95E55">
      <w:pPr>
        <w:pStyle w:val="ListParagraph"/>
        <w:ind w:left="1080"/>
        <w:rPr>
          <w:sz w:val="10"/>
          <w:szCs w:val="10"/>
        </w:rPr>
      </w:pPr>
    </w:p>
    <w:p w14:paraId="4526B9DB" w14:textId="269C00D8" w:rsidR="00E95E55" w:rsidRDefault="00E561C9" w:rsidP="00E95E55">
      <w:pPr>
        <w:ind w:left="720"/>
      </w:pPr>
      <w:sdt>
        <w:sdtPr>
          <w:rPr>
            <w:b/>
          </w:rPr>
          <w:id w:val="2113697855"/>
          <w14:checkbox>
            <w14:checked w14:val="0"/>
            <w14:checkedState w14:val="2612" w14:font="MS Gothic"/>
            <w14:uncheckedState w14:val="2610" w14:font="MS Gothic"/>
          </w14:checkbox>
        </w:sdtPr>
        <w:sdtEndPr/>
        <w:sdtContent>
          <w:r w:rsidR="00E95E55" w:rsidRPr="00290DC0">
            <w:rPr>
              <w:rFonts w:ascii="MS Gothic" w:eastAsia="MS Gothic" w:hAnsi="MS Gothic" w:hint="eastAsia"/>
              <w:b/>
            </w:rPr>
            <w:t>☐</w:t>
          </w:r>
        </w:sdtContent>
      </w:sdt>
      <w:r w:rsidR="00E95E55" w:rsidRPr="00290DC0">
        <w:rPr>
          <w:b/>
        </w:rPr>
        <w:t xml:space="preserve"> </w:t>
      </w:r>
      <w:r w:rsidR="00E95E55" w:rsidRPr="00290DC0">
        <w:t>Tax forms (or equivalent third-party payroll service provider reports) for the periods that overlap with the Covered Period or the Alternative Payroll Covered Period</w:t>
      </w:r>
      <w:r w:rsidR="00E95E55">
        <w:t>, such as:</w:t>
      </w:r>
      <w:r w:rsidR="00E95E55" w:rsidRPr="00290DC0">
        <w:t xml:space="preserve"> </w:t>
      </w:r>
    </w:p>
    <w:p w14:paraId="283FFB30" w14:textId="77777777" w:rsidR="00E95E55" w:rsidRPr="00E95E55" w:rsidRDefault="00E95E55" w:rsidP="00E95E55">
      <w:pPr>
        <w:ind w:left="720"/>
        <w:rPr>
          <w:sz w:val="10"/>
          <w:szCs w:val="10"/>
        </w:rPr>
      </w:pPr>
    </w:p>
    <w:p w14:paraId="0EA47122" w14:textId="77777777" w:rsidR="00E95E55" w:rsidRDefault="00E95E55" w:rsidP="00E95E55">
      <w:pPr>
        <w:pStyle w:val="ListParagraph"/>
        <w:numPr>
          <w:ilvl w:val="0"/>
          <w:numId w:val="12"/>
        </w:numPr>
      </w:pPr>
      <w:r w:rsidRPr="00290DC0">
        <w:t xml:space="preserve">Payroll tax filings reported, or that will be reported, to the IRS (typically, Form 941); and </w:t>
      </w:r>
    </w:p>
    <w:p w14:paraId="63F2C5AA" w14:textId="2A515E89" w:rsidR="00E95E55" w:rsidRPr="00290DC0" w:rsidRDefault="00E95E55" w:rsidP="00E95E55">
      <w:pPr>
        <w:pStyle w:val="ListParagraph"/>
        <w:numPr>
          <w:ilvl w:val="0"/>
          <w:numId w:val="12"/>
        </w:numPr>
      </w:pPr>
      <w:r w:rsidRPr="00290DC0">
        <w:t>State quarterly business and individual em</w:t>
      </w:r>
      <w:bookmarkStart w:id="0" w:name="_GoBack"/>
      <w:bookmarkEnd w:id="0"/>
      <w:r w:rsidRPr="00290DC0">
        <w:t xml:space="preserve">ployee wage reporting and unemployment insurance tax filings reported, or that will be reported, to the relevant state. </w:t>
      </w:r>
    </w:p>
    <w:p w14:paraId="6C1D3594" w14:textId="77777777" w:rsidR="00E95E55" w:rsidRPr="00453AA3" w:rsidRDefault="00E95E55" w:rsidP="00E95E55">
      <w:pPr>
        <w:pStyle w:val="ListParagraph"/>
        <w:ind w:left="1080"/>
        <w:rPr>
          <w:sz w:val="10"/>
          <w:szCs w:val="10"/>
        </w:rPr>
      </w:pPr>
    </w:p>
    <w:p w14:paraId="7395EF62" w14:textId="303E80E1" w:rsidR="00E95E55" w:rsidRPr="00290DC0" w:rsidRDefault="00E561C9" w:rsidP="00E95E55">
      <w:pPr>
        <w:pStyle w:val="ListParagraph"/>
      </w:pPr>
      <w:sdt>
        <w:sdtPr>
          <w:rPr>
            <w:b/>
          </w:rPr>
          <w:id w:val="-14233374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E95E55" w:rsidRPr="00290DC0">
        <w:rPr>
          <w:b/>
        </w:rPr>
        <w:t xml:space="preserve"> </w:t>
      </w:r>
      <w:r w:rsidR="00E95E55" w:rsidRPr="00290DC0">
        <w:t xml:space="preserve">Payment receipts, cancelled checks, or account statements documenting the amount of any employer contributions to employee health insurance and retirement plans that </w:t>
      </w:r>
      <w:r w:rsidR="00E95E55">
        <w:t xml:space="preserve">are being </w:t>
      </w:r>
      <w:r w:rsidR="00E95E55" w:rsidRPr="00290DC0">
        <w:t xml:space="preserve">included in the forgiveness amount. </w:t>
      </w:r>
    </w:p>
    <w:p w14:paraId="2DE4EFC6" w14:textId="77777777" w:rsidR="00E95E55" w:rsidRPr="00453AA3" w:rsidRDefault="00E95E55" w:rsidP="00E95E55">
      <w:pPr>
        <w:pStyle w:val="ListParagraph"/>
        <w:ind w:left="1080"/>
        <w:rPr>
          <w:sz w:val="10"/>
          <w:szCs w:val="10"/>
        </w:rPr>
      </w:pPr>
    </w:p>
    <w:p w14:paraId="5A0D80A1" w14:textId="02CD6425" w:rsidR="00E95E55" w:rsidRDefault="00E561C9" w:rsidP="00E95E55">
      <w:pPr>
        <w:pStyle w:val="ListParagraph"/>
      </w:pPr>
      <w:sdt>
        <w:sdtPr>
          <w:rPr>
            <w:b/>
          </w:rPr>
          <w:id w:val="-931897622"/>
          <w14:checkbox>
            <w14:checked w14:val="0"/>
            <w14:checkedState w14:val="2612" w14:font="MS Gothic"/>
            <w14:uncheckedState w14:val="2610" w14:font="MS Gothic"/>
          </w14:checkbox>
        </w:sdtPr>
        <w:sdtEndPr/>
        <w:sdtContent>
          <w:r w:rsidR="00001C7A">
            <w:rPr>
              <w:rFonts w:ascii="MS Gothic" w:eastAsia="MS Gothic" w:hAnsi="MS Gothic" w:hint="eastAsia"/>
              <w:b/>
            </w:rPr>
            <w:t>☐</w:t>
          </w:r>
        </w:sdtContent>
      </w:sdt>
      <w:r w:rsidR="00E95E55" w:rsidRPr="00290DC0">
        <w:rPr>
          <w:b/>
        </w:rPr>
        <w:t xml:space="preserve"> </w:t>
      </w:r>
      <w:r w:rsidR="00E95E55">
        <w:t xml:space="preserve">For </w:t>
      </w:r>
      <w:r w:rsidR="001D2F1F">
        <w:t>b</w:t>
      </w:r>
      <w:r w:rsidR="00E95E55">
        <w:t xml:space="preserve">orrowers using SBA Form </w:t>
      </w:r>
      <w:r w:rsidR="00E95E55" w:rsidRPr="00290DC0">
        <w:t xml:space="preserve">3508EZ </w:t>
      </w:r>
      <w:r w:rsidR="00E95E55">
        <w:t xml:space="preserve">and </w:t>
      </w:r>
      <w:r w:rsidR="005B0304">
        <w:t xml:space="preserve">who </w:t>
      </w:r>
      <w:r w:rsidR="00E95E55">
        <w:t xml:space="preserve">select </w:t>
      </w:r>
      <w:r w:rsidR="00E95E55" w:rsidRPr="00290DC0">
        <w:t xml:space="preserve">only the second box on the checklist on page 1 of the SBA Form 3508EZ Instructions, </w:t>
      </w:r>
      <w:r w:rsidR="005B0304">
        <w:t xml:space="preserve">reports evidencing </w:t>
      </w:r>
      <w:r w:rsidR="00E95E55" w:rsidRPr="00290DC0">
        <w:t xml:space="preserve">the average number of full-time equivalent employees on payroll employed by the </w:t>
      </w:r>
      <w:r w:rsidR="00683F8B">
        <w:t>b</w:t>
      </w:r>
      <w:r w:rsidR="00E95E55" w:rsidRPr="00290DC0">
        <w:t>orrower on January 1, 2020 and at the end of the Covered Period</w:t>
      </w:r>
    </w:p>
    <w:p w14:paraId="7127942A" w14:textId="77777777" w:rsidR="00E95E55" w:rsidRDefault="00E95E55" w:rsidP="00E95E55">
      <w:pPr>
        <w:pStyle w:val="ListParagraph"/>
        <w:ind w:left="360"/>
        <w:rPr>
          <w:rFonts w:eastAsia="Segoe UI"/>
          <w:b/>
          <w:sz w:val="24"/>
          <w:szCs w:val="24"/>
        </w:rPr>
      </w:pPr>
    </w:p>
    <w:p w14:paraId="373677AE" w14:textId="26513207" w:rsidR="00E95E55" w:rsidRDefault="00E95E55" w:rsidP="00E95E55">
      <w:pPr>
        <w:pStyle w:val="ListParagraph"/>
        <w:numPr>
          <w:ilvl w:val="0"/>
          <w:numId w:val="14"/>
        </w:numPr>
        <w:rPr>
          <w:rFonts w:eastAsia="Segoe UI"/>
          <w:b/>
          <w:sz w:val="24"/>
          <w:szCs w:val="24"/>
        </w:rPr>
      </w:pPr>
      <w:r>
        <w:rPr>
          <w:rFonts w:eastAsia="Segoe UI"/>
          <w:b/>
          <w:sz w:val="24"/>
          <w:szCs w:val="24"/>
        </w:rPr>
        <w:t>FTE Documentation.</w:t>
      </w:r>
      <w:r w:rsidR="003D6864">
        <w:rPr>
          <w:rStyle w:val="FootnoteReference"/>
          <w:rFonts w:eastAsia="Segoe UI"/>
          <w:b/>
          <w:sz w:val="24"/>
          <w:szCs w:val="24"/>
        </w:rPr>
        <w:footnoteReference w:id="2"/>
      </w:r>
      <w:r w:rsidR="003D6864">
        <w:rPr>
          <w:rFonts w:eastAsia="Segoe UI"/>
          <w:b/>
          <w:sz w:val="24"/>
          <w:szCs w:val="24"/>
        </w:rPr>
        <w:t xml:space="preserve">  </w:t>
      </w:r>
      <w:r w:rsidR="003D6864">
        <w:rPr>
          <w:rFonts w:eastAsia="Segoe UI"/>
          <w:sz w:val="24"/>
          <w:szCs w:val="24"/>
        </w:rPr>
        <w:t xml:space="preserve">Documentation, such as payroll tax filings, showing (at the election of the </w:t>
      </w:r>
      <w:r w:rsidR="00683F8B">
        <w:rPr>
          <w:rFonts w:eastAsia="Segoe UI"/>
          <w:sz w:val="24"/>
          <w:szCs w:val="24"/>
        </w:rPr>
        <w:t>b</w:t>
      </w:r>
      <w:r w:rsidR="003D6864">
        <w:rPr>
          <w:rFonts w:eastAsia="Segoe UI"/>
          <w:sz w:val="24"/>
          <w:szCs w:val="24"/>
        </w:rPr>
        <w:t>orrower):</w:t>
      </w:r>
    </w:p>
    <w:p w14:paraId="15F14410" w14:textId="253BCBD3" w:rsidR="00E95E55" w:rsidRPr="003D6864" w:rsidRDefault="00E95E55" w:rsidP="00E95E55">
      <w:pPr>
        <w:pStyle w:val="ListParagraph"/>
        <w:ind w:left="360"/>
        <w:rPr>
          <w:rFonts w:eastAsia="Segoe UI"/>
          <w:b/>
          <w:sz w:val="10"/>
          <w:szCs w:val="10"/>
        </w:rPr>
      </w:pPr>
    </w:p>
    <w:p w14:paraId="7CE2BC13" w14:textId="12099DEF" w:rsidR="003D6864" w:rsidRDefault="00E561C9" w:rsidP="003D6864">
      <w:pPr>
        <w:pStyle w:val="ListParagraph"/>
      </w:pPr>
      <w:sdt>
        <w:sdtPr>
          <w:rPr>
            <w:b/>
          </w:rPr>
          <w:id w:val="-893963164"/>
          <w14:checkbox>
            <w14:checked w14:val="0"/>
            <w14:checkedState w14:val="2612" w14:font="MS Gothic"/>
            <w14:uncheckedState w14:val="2610" w14:font="MS Gothic"/>
          </w14:checkbox>
        </w:sdtPr>
        <w:sdtEndPr/>
        <w:sdtContent>
          <w:r w:rsidR="003D6864">
            <w:rPr>
              <w:rFonts w:ascii="MS Gothic" w:eastAsia="MS Gothic" w:hAnsi="MS Gothic" w:hint="eastAsia"/>
              <w:b/>
            </w:rPr>
            <w:t>☐</w:t>
          </w:r>
        </w:sdtContent>
      </w:sdt>
      <w:r w:rsidR="003D6864" w:rsidRPr="00290DC0">
        <w:rPr>
          <w:b/>
        </w:rPr>
        <w:t xml:space="preserve"> </w:t>
      </w:r>
      <w:r w:rsidR="003D6864">
        <w:t xml:space="preserve">The average number of FTE employees on payroll per week employed by the </w:t>
      </w:r>
      <w:r w:rsidR="00683F8B">
        <w:t>b</w:t>
      </w:r>
      <w:r w:rsidR="003D6864">
        <w:t xml:space="preserve">orrower between February 15, 2019 and June 30, 2019; </w:t>
      </w:r>
    </w:p>
    <w:p w14:paraId="7FE319AC" w14:textId="77777777" w:rsidR="003D6864" w:rsidRPr="00453AA3" w:rsidRDefault="003D6864" w:rsidP="00E95E55">
      <w:pPr>
        <w:pStyle w:val="ListParagraph"/>
        <w:ind w:left="360"/>
        <w:rPr>
          <w:sz w:val="10"/>
          <w:szCs w:val="10"/>
        </w:rPr>
      </w:pPr>
    </w:p>
    <w:p w14:paraId="076EB66F" w14:textId="44E854FD" w:rsidR="003D6864" w:rsidRDefault="00E561C9" w:rsidP="003D6864">
      <w:pPr>
        <w:pStyle w:val="ListParagraph"/>
      </w:pPr>
      <w:sdt>
        <w:sdtPr>
          <w:rPr>
            <w:b/>
          </w:rPr>
          <w:id w:val="489446826"/>
          <w14:checkbox>
            <w14:checked w14:val="0"/>
            <w14:checkedState w14:val="2612" w14:font="MS Gothic"/>
            <w14:uncheckedState w14:val="2610" w14:font="MS Gothic"/>
          </w14:checkbox>
        </w:sdtPr>
        <w:sdtEndPr/>
        <w:sdtContent>
          <w:r w:rsidR="003D6864" w:rsidRPr="00290DC0">
            <w:rPr>
              <w:rFonts w:ascii="MS Gothic" w:eastAsia="MS Gothic" w:hAnsi="MS Gothic" w:hint="eastAsia"/>
              <w:b/>
            </w:rPr>
            <w:t>☐</w:t>
          </w:r>
        </w:sdtContent>
      </w:sdt>
      <w:r w:rsidR="003D6864" w:rsidRPr="00290DC0">
        <w:rPr>
          <w:b/>
        </w:rPr>
        <w:t xml:space="preserve"> </w:t>
      </w:r>
      <w:r w:rsidR="003D6864">
        <w:t xml:space="preserve">The average number of FTE employees on payroll per week employed by the </w:t>
      </w:r>
      <w:r w:rsidR="00683F8B">
        <w:t>b</w:t>
      </w:r>
      <w:r w:rsidR="003D6864">
        <w:t>orrower between January 1, 2020 and February 29, 2020; or</w:t>
      </w:r>
    </w:p>
    <w:p w14:paraId="2DE15872" w14:textId="77777777" w:rsidR="003D6864" w:rsidRPr="00453AA3" w:rsidRDefault="003D6864" w:rsidP="00E95E55">
      <w:pPr>
        <w:pStyle w:val="ListParagraph"/>
        <w:ind w:left="360"/>
        <w:rPr>
          <w:sz w:val="10"/>
          <w:szCs w:val="10"/>
        </w:rPr>
      </w:pPr>
    </w:p>
    <w:p w14:paraId="02071999" w14:textId="7C62D3EE" w:rsidR="00E95E55" w:rsidRDefault="00E561C9" w:rsidP="003D6864">
      <w:pPr>
        <w:pStyle w:val="ListParagraph"/>
        <w:rPr>
          <w:rFonts w:eastAsia="Segoe UI"/>
          <w:b/>
          <w:sz w:val="24"/>
          <w:szCs w:val="24"/>
        </w:rPr>
      </w:pPr>
      <w:sdt>
        <w:sdtPr>
          <w:rPr>
            <w:b/>
          </w:rPr>
          <w:id w:val="-794443292"/>
          <w14:checkbox>
            <w14:checked w14:val="0"/>
            <w14:checkedState w14:val="2612" w14:font="MS Gothic"/>
            <w14:uncheckedState w14:val="2610" w14:font="MS Gothic"/>
          </w14:checkbox>
        </w:sdtPr>
        <w:sdtEndPr/>
        <w:sdtContent>
          <w:r w:rsidR="003D6864" w:rsidRPr="00290DC0">
            <w:rPr>
              <w:rFonts w:ascii="MS Gothic" w:eastAsia="MS Gothic" w:hAnsi="MS Gothic" w:hint="eastAsia"/>
              <w:b/>
            </w:rPr>
            <w:t>☐</w:t>
          </w:r>
        </w:sdtContent>
      </w:sdt>
      <w:r w:rsidR="003D6864" w:rsidRPr="00290DC0">
        <w:rPr>
          <w:b/>
        </w:rPr>
        <w:t xml:space="preserve"> </w:t>
      </w:r>
      <w:r w:rsidR="003D6864">
        <w:t xml:space="preserve">In the case of a seasonal employer, the average number of FTE employees on payroll per week employed by the </w:t>
      </w:r>
      <w:r w:rsidR="00683F8B">
        <w:t>b</w:t>
      </w:r>
      <w:r w:rsidR="003D6864">
        <w:t xml:space="preserve">orrower between February 15, 2019 and June 30, 2019; between January 1, 2020 and February 29, 2020; or any consecutive 12-week period between May 1, 2019 and September 15, 2019. </w:t>
      </w:r>
    </w:p>
    <w:p w14:paraId="3EBA1A6F" w14:textId="77777777" w:rsidR="00E95E55" w:rsidRDefault="00E95E55" w:rsidP="00E95E55">
      <w:pPr>
        <w:pStyle w:val="ListParagraph"/>
        <w:ind w:left="360"/>
        <w:rPr>
          <w:rFonts w:eastAsia="Segoe UI"/>
          <w:b/>
          <w:sz w:val="24"/>
          <w:szCs w:val="24"/>
        </w:rPr>
      </w:pPr>
    </w:p>
    <w:p w14:paraId="3E507ED8" w14:textId="3FF9CA76" w:rsidR="00E95E55" w:rsidRPr="00E95E55" w:rsidRDefault="00E95E55" w:rsidP="00E95E55">
      <w:pPr>
        <w:pStyle w:val="ListParagraph"/>
        <w:numPr>
          <w:ilvl w:val="0"/>
          <w:numId w:val="14"/>
        </w:numPr>
        <w:rPr>
          <w:rFonts w:eastAsia="Segoe UI"/>
          <w:b/>
          <w:sz w:val="24"/>
          <w:szCs w:val="24"/>
        </w:rPr>
      </w:pPr>
      <w:r>
        <w:rPr>
          <w:rFonts w:eastAsia="Segoe UI"/>
          <w:b/>
          <w:sz w:val="24"/>
          <w:szCs w:val="24"/>
        </w:rPr>
        <w:t xml:space="preserve">Non-Payroll Documentation. </w:t>
      </w:r>
      <w:r w:rsidRPr="00E95E55">
        <w:t>Documentation verify</w:t>
      </w:r>
      <w:r>
        <w:t>ing the</w:t>
      </w:r>
      <w:r w:rsidRPr="00E95E55">
        <w:t xml:space="preserve"> (</w:t>
      </w:r>
      <w:proofErr w:type="spellStart"/>
      <w:r w:rsidR="00596810">
        <w:t>i</w:t>
      </w:r>
      <w:proofErr w:type="spellEnd"/>
      <w:r w:rsidRPr="00E95E55">
        <w:t>) existence of the obligations/services prior to February 15, 2020 and (</w:t>
      </w:r>
      <w:r w:rsidR="00596810">
        <w:t>ii</w:t>
      </w:r>
      <w:r w:rsidRPr="00E95E55">
        <w:t>) eligible payments from the Covered Period.</w:t>
      </w:r>
    </w:p>
    <w:p w14:paraId="340D5139" w14:textId="77777777" w:rsidR="00E95E55" w:rsidRPr="003D6864" w:rsidRDefault="00E95E55" w:rsidP="00E95E55">
      <w:pPr>
        <w:pStyle w:val="ListParagraph"/>
        <w:ind w:left="360"/>
        <w:rPr>
          <w:i/>
          <w:sz w:val="10"/>
          <w:szCs w:val="10"/>
        </w:rPr>
      </w:pPr>
    </w:p>
    <w:p w14:paraId="7B2E30AD" w14:textId="15EC8371" w:rsidR="00E95E55" w:rsidRPr="00290DC0" w:rsidRDefault="00E561C9" w:rsidP="00E95E55">
      <w:pPr>
        <w:pStyle w:val="ListParagraph"/>
      </w:pPr>
      <w:sdt>
        <w:sdtPr>
          <w:rPr>
            <w:b/>
          </w:rPr>
          <w:id w:val="1947650074"/>
          <w14:checkbox>
            <w14:checked w14:val="0"/>
            <w14:checkedState w14:val="2612" w14:font="MS Gothic"/>
            <w14:uncheckedState w14:val="2610" w14:font="MS Gothic"/>
          </w14:checkbox>
        </w:sdtPr>
        <w:sdtEndPr/>
        <w:sdtContent>
          <w:r w:rsidR="00E95E55" w:rsidRPr="00290DC0">
            <w:rPr>
              <w:rFonts w:ascii="MS Gothic" w:eastAsia="MS Gothic" w:hAnsi="MS Gothic" w:hint="eastAsia"/>
              <w:b/>
            </w:rPr>
            <w:t>☐</w:t>
          </w:r>
        </w:sdtContent>
      </w:sdt>
      <w:r w:rsidR="00E95E55" w:rsidRPr="00290DC0">
        <w:rPr>
          <w:b/>
        </w:rPr>
        <w:t xml:space="preserve"> </w:t>
      </w:r>
      <w:r w:rsidR="003D6864" w:rsidRPr="003D6864">
        <w:t xml:space="preserve">For </w:t>
      </w:r>
      <w:r w:rsidR="003D6864">
        <w:t>B</w:t>
      </w:r>
      <w:r w:rsidR="00E95E55" w:rsidRPr="003D6864">
        <w:t xml:space="preserve">usiness </w:t>
      </w:r>
      <w:r w:rsidR="003D6864">
        <w:t>Mortgage Interest P</w:t>
      </w:r>
      <w:r w:rsidR="00E95E55" w:rsidRPr="003D6864">
        <w:t>ayments</w:t>
      </w:r>
      <w:r w:rsidR="003D6864">
        <w:t>, a</w:t>
      </w:r>
      <w:r w:rsidR="003D6864">
        <w:rPr>
          <w:i/>
        </w:rPr>
        <w:t xml:space="preserve"> </w:t>
      </w:r>
      <w:r w:rsidR="00E95E55" w:rsidRPr="00290DC0">
        <w:t xml:space="preserve"> </w:t>
      </w:r>
      <w:r w:rsidR="00E95E55">
        <w:t>(1) c</w:t>
      </w:r>
      <w:r w:rsidR="00E95E55" w:rsidRPr="00290DC0">
        <w:t xml:space="preserve">opy of lender amortization schedule and receipts or cancelled checks verifying eligible payments from the Covered Period; or </w:t>
      </w:r>
      <w:r w:rsidR="00E95E55">
        <w:t xml:space="preserve">(2) </w:t>
      </w:r>
      <w:r w:rsidR="00E95E55" w:rsidRPr="00290DC0">
        <w:t xml:space="preserve">lender account statements from February 2020 and the months of the Covered Period through one month after the end of the Covered Period verifying interest amounts and eligible payments. </w:t>
      </w:r>
    </w:p>
    <w:p w14:paraId="3613E6A7" w14:textId="77777777" w:rsidR="00E95E55" w:rsidRPr="00453AA3" w:rsidRDefault="00E95E55" w:rsidP="00E95E55">
      <w:pPr>
        <w:pStyle w:val="ListParagraph"/>
        <w:ind w:left="360"/>
        <w:rPr>
          <w:i/>
          <w:sz w:val="10"/>
          <w:szCs w:val="10"/>
        </w:rPr>
      </w:pPr>
    </w:p>
    <w:p w14:paraId="360E619F" w14:textId="58013D0A" w:rsidR="00E95E55" w:rsidRPr="00290DC0" w:rsidRDefault="00E561C9" w:rsidP="00E95E55">
      <w:pPr>
        <w:pStyle w:val="ListParagraph"/>
      </w:pPr>
      <w:sdt>
        <w:sdtPr>
          <w:rPr>
            <w:b/>
          </w:rPr>
          <w:id w:val="1762176696"/>
          <w14:checkbox>
            <w14:checked w14:val="0"/>
            <w14:checkedState w14:val="2612" w14:font="MS Gothic"/>
            <w14:uncheckedState w14:val="2610" w14:font="MS Gothic"/>
          </w14:checkbox>
        </w:sdtPr>
        <w:sdtEndPr/>
        <w:sdtContent>
          <w:r w:rsidR="00E95E55" w:rsidRPr="00290DC0">
            <w:rPr>
              <w:rFonts w:ascii="MS Gothic" w:eastAsia="MS Gothic" w:hAnsi="MS Gothic" w:hint="eastAsia"/>
              <w:b/>
            </w:rPr>
            <w:t>☐</w:t>
          </w:r>
        </w:sdtContent>
      </w:sdt>
      <w:r w:rsidR="00E95E55" w:rsidRPr="00290DC0">
        <w:rPr>
          <w:b/>
        </w:rPr>
        <w:t xml:space="preserve"> </w:t>
      </w:r>
      <w:r w:rsidR="003D6864" w:rsidRPr="003D6864">
        <w:t>For B</w:t>
      </w:r>
      <w:r w:rsidR="00E95E55" w:rsidRPr="003D6864">
        <w:t xml:space="preserve">usiness </w:t>
      </w:r>
      <w:r w:rsidR="003D6864" w:rsidRPr="003D6864">
        <w:t>R</w:t>
      </w:r>
      <w:r w:rsidR="00E95E55" w:rsidRPr="003D6864">
        <w:t xml:space="preserve">ent or </w:t>
      </w:r>
      <w:r w:rsidR="003D6864" w:rsidRPr="003D6864">
        <w:t>L</w:t>
      </w:r>
      <w:r w:rsidR="00E95E55" w:rsidRPr="003D6864">
        <w:t xml:space="preserve">ease </w:t>
      </w:r>
      <w:r w:rsidR="003D6864" w:rsidRPr="003D6864">
        <w:t>P</w:t>
      </w:r>
      <w:r w:rsidR="00E95E55" w:rsidRPr="003D6864">
        <w:t>ayments</w:t>
      </w:r>
      <w:r w:rsidR="003D6864" w:rsidRPr="003D6864">
        <w:t>,</w:t>
      </w:r>
      <w:r w:rsidR="003D6864">
        <w:t xml:space="preserve"> a</w:t>
      </w:r>
      <w:r w:rsidR="00E95E55" w:rsidRPr="00290DC0">
        <w:t xml:space="preserve"> </w:t>
      </w:r>
      <w:r w:rsidR="00E95E55">
        <w:t>(1) c</w:t>
      </w:r>
      <w:r w:rsidR="00E95E55" w:rsidRPr="00290DC0">
        <w:t xml:space="preserve">opy of current lease agreement </w:t>
      </w:r>
      <w:r w:rsidR="00E95E55" w:rsidRPr="003957B1">
        <w:t>and</w:t>
      </w:r>
      <w:r w:rsidR="00E95E55" w:rsidRPr="00290DC0">
        <w:t xml:space="preserve"> receipts or cancelled checks verifying eligible payments from the Covered Period; or </w:t>
      </w:r>
      <w:r w:rsidR="00E95E55">
        <w:t xml:space="preserve">(2) </w:t>
      </w:r>
      <w:r w:rsidR="00E95E55" w:rsidRPr="00290DC0">
        <w:t>lessor</w:t>
      </w:r>
      <w:r w:rsidR="00F04616">
        <w:t xml:space="preserve"> (landlord)</w:t>
      </w:r>
      <w:r w:rsidR="00E95E55" w:rsidRPr="00290DC0">
        <w:t xml:space="preserve"> account statements from February 2020 and from the Covered Period through one month after the end of the Covered Period verifying eligible payments. </w:t>
      </w:r>
    </w:p>
    <w:p w14:paraId="12D9B031" w14:textId="77777777" w:rsidR="00E95E55" w:rsidRPr="00453AA3" w:rsidRDefault="00E95E55" w:rsidP="00E95E55">
      <w:pPr>
        <w:pStyle w:val="ListParagraph"/>
        <w:ind w:left="360"/>
        <w:rPr>
          <w:sz w:val="10"/>
          <w:szCs w:val="10"/>
        </w:rPr>
      </w:pPr>
    </w:p>
    <w:p w14:paraId="2F0DC522" w14:textId="539E3042" w:rsidR="00E95E55" w:rsidRDefault="00E561C9" w:rsidP="003D6864">
      <w:pPr>
        <w:pStyle w:val="ListParagraph"/>
      </w:pPr>
      <w:sdt>
        <w:sdtPr>
          <w:rPr>
            <w:b/>
          </w:rPr>
          <w:id w:val="-2003730113"/>
          <w14:checkbox>
            <w14:checked w14:val="0"/>
            <w14:checkedState w14:val="2612" w14:font="MS Gothic"/>
            <w14:uncheckedState w14:val="2610" w14:font="MS Gothic"/>
          </w14:checkbox>
        </w:sdtPr>
        <w:sdtEndPr/>
        <w:sdtContent>
          <w:r w:rsidR="00E95E55" w:rsidRPr="00290DC0">
            <w:rPr>
              <w:rFonts w:ascii="MS Gothic" w:eastAsia="MS Gothic" w:hAnsi="MS Gothic" w:hint="eastAsia"/>
              <w:b/>
            </w:rPr>
            <w:t>☐</w:t>
          </w:r>
        </w:sdtContent>
      </w:sdt>
      <w:r w:rsidR="00E95E55" w:rsidRPr="00290DC0">
        <w:rPr>
          <w:b/>
        </w:rPr>
        <w:t xml:space="preserve"> </w:t>
      </w:r>
      <w:r w:rsidR="003D6864" w:rsidRPr="003D6864">
        <w:t>For Business Utility P</w:t>
      </w:r>
      <w:r w:rsidR="00E95E55" w:rsidRPr="003D6864">
        <w:t>ayments</w:t>
      </w:r>
      <w:r w:rsidR="003D6864" w:rsidRPr="003D6864">
        <w:t>,</w:t>
      </w:r>
      <w:r w:rsidR="003D6864">
        <w:t xml:space="preserve"> a c</w:t>
      </w:r>
      <w:r w:rsidR="00E95E55" w:rsidRPr="00290DC0">
        <w:t>opy of invoices from February 2020 and those paid during the Covered Period and receipts, cancelled checks, or account statements verifying those eligible payments</w:t>
      </w:r>
      <w:r w:rsidR="00701341">
        <w:t xml:space="preserve"> were made</w:t>
      </w:r>
      <w:r w:rsidR="003D6864">
        <w:t>.</w:t>
      </w:r>
    </w:p>
    <w:p w14:paraId="76AE4783" w14:textId="35E4BE1A" w:rsidR="008C4A97" w:rsidRPr="008C4A97" w:rsidRDefault="008C4A97" w:rsidP="003D6864">
      <w:pPr>
        <w:pStyle w:val="ListParagraph"/>
      </w:pPr>
    </w:p>
    <w:p w14:paraId="647391AC" w14:textId="39698C3F" w:rsidR="008C4A97" w:rsidRPr="008C4A97" w:rsidRDefault="008C4A97" w:rsidP="008C4A97">
      <w:pPr>
        <w:pStyle w:val="ListParagraph"/>
        <w:numPr>
          <w:ilvl w:val="0"/>
          <w:numId w:val="14"/>
        </w:numPr>
        <w:rPr>
          <w:rFonts w:eastAsia="Segoe UI"/>
          <w:b/>
        </w:rPr>
      </w:pPr>
      <w:r w:rsidRPr="008C4A97">
        <w:rPr>
          <w:rFonts w:eastAsia="Segoe UI"/>
          <w:b/>
        </w:rPr>
        <w:t>Gross Revenue Documentation.</w:t>
      </w:r>
      <w:r w:rsidRPr="008C4A97">
        <w:rPr>
          <w:rStyle w:val="FootnoteReference"/>
          <w:rFonts w:eastAsia="Segoe UI"/>
          <w:b/>
        </w:rPr>
        <w:footnoteReference w:id="3"/>
      </w:r>
      <w:r w:rsidRPr="008C4A97">
        <w:rPr>
          <w:rFonts w:eastAsia="Segoe UI"/>
          <w:b/>
        </w:rPr>
        <w:t xml:space="preserve">  </w:t>
      </w:r>
      <w:r w:rsidRPr="008C4A97">
        <w:t>Documentation establishing the required revenue reduction of 25% or greater in 2020 relative to 2019, such as (one of the following):</w:t>
      </w:r>
    </w:p>
    <w:p w14:paraId="40A86FB7" w14:textId="77777777" w:rsidR="008C4A97" w:rsidRPr="008C4A97" w:rsidRDefault="008C4A97" w:rsidP="008C4A97">
      <w:pPr>
        <w:rPr>
          <w:sz w:val="10"/>
          <w:szCs w:val="10"/>
        </w:rPr>
      </w:pPr>
    </w:p>
    <w:p w14:paraId="18D29F77" w14:textId="77777777" w:rsidR="008C4A97" w:rsidRPr="008C4A97" w:rsidRDefault="00E561C9" w:rsidP="008C4A97">
      <w:pPr>
        <w:pStyle w:val="ListParagraph"/>
      </w:pPr>
      <w:sdt>
        <w:sdtPr>
          <w:rPr>
            <w:b/>
          </w:rPr>
          <w:id w:val="1129825363"/>
          <w14:checkbox>
            <w14:checked w14:val="0"/>
            <w14:checkedState w14:val="2612" w14:font="MS Gothic"/>
            <w14:uncheckedState w14:val="2610" w14:font="MS Gothic"/>
          </w14:checkbox>
        </w:sdtPr>
        <w:sdtEndPr/>
        <w:sdtContent>
          <w:r w:rsidR="008C4A97" w:rsidRPr="008C4A97">
            <w:rPr>
              <w:rFonts w:ascii="Segoe UI Symbol" w:eastAsia="MS Gothic" w:hAnsi="Segoe UI Symbol" w:cs="Segoe UI Symbol"/>
              <w:b/>
            </w:rPr>
            <w:t>☐</w:t>
          </w:r>
        </w:sdtContent>
      </w:sdt>
      <w:r w:rsidR="008C4A97" w:rsidRPr="008C4A97">
        <w:rPr>
          <w:b/>
        </w:rPr>
        <w:t xml:space="preserve"> </w:t>
      </w:r>
      <w:r w:rsidR="008C4A97" w:rsidRPr="008C4A97">
        <w:t>Relevant tax forms, including annual tax forms.  Tax forms must be signed and dated, attesting to their accuracy.  If the tax return for 2020 is not yet filed, fill out the return forms, compute the relevant gross receipts value, and sign and date the return, attesting that the values that enter into the gross receipts computation are the same values that will be filed on the tax return.</w:t>
      </w:r>
    </w:p>
    <w:p w14:paraId="633C65DB" w14:textId="77777777" w:rsidR="008C4A97" w:rsidRPr="008C4A97" w:rsidRDefault="008C4A97" w:rsidP="008C4A97">
      <w:pPr>
        <w:pStyle w:val="ListParagraph"/>
        <w:ind w:left="360"/>
        <w:rPr>
          <w:sz w:val="10"/>
          <w:szCs w:val="10"/>
        </w:rPr>
      </w:pPr>
    </w:p>
    <w:p w14:paraId="1F1C634B" w14:textId="77777777" w:rsidR="008C4A97" w:rsidRPr="008C4A97" w:rsidRDefault="00E561C9" w:rsidP="008C4A97">
      <w:pPr>
        <w:pStyle w:val="ListParagraph"/>
      </w:pPr>
      <w:sdt>
        <w:sdtPr>
          <w:rPr>
            <w:b/>
          </w:rPr>
          <w:id w:val="67234385"/>
          <w14:checkbox>
            <w14:checked w14:val="0"/>
            <w14:checkedState w14:val="2612" w14:font="MS Gothic"/>
            <w14:uncheckedState w14:val="2610" w14:font="MS Gothic"/>
          </w14:checkbox>
        </w:sdtPr>
        <w:sdtEndPr/>
        <w:sdtContent>
          <w:r w:rsidR="008C4A97" w:rsidRPr="008C4A97">
            <w:rPr>
              <w:rFonts w:ascii="Segoe UI Symbol" w:eastAsia="MS Gothic" w:hAnsi="Segoe UI Symbol" w:cs="Segoe UI Symbol"/>
              <w:b/>
            </w:rPr>
            <w:t>☐</w:t>
          </w:r>
        </w:sdtContent>
      </w:sdt>
      <w:r w:rsidR="008C4A97" w:rsidRPr="008C4A97">
        <w:rPr>
          <w:b/>
        </w:rPr>
        <w:t xml:space="preserve"> </w:t>
      </w:r>
      <w:r w:rsidR="008C4A97" w:rsidRPr="008C4A97">
        <w:t>Quarterly financial statements. If the financial statements are not audited, the first page must be signed and dated and all other pages must be initialed, attesting to their accuracy. If the financial statements do not specifically identify the line item(s) that constitute gross receipts, the statements must be annotated to identify which line item(s) constitute gross receipts.</w:t>
      </w:r>
    </w:p>
    <w:p w14:paraId="1F19FAD5" w14:textId="77777777" w:rsidR="008C4A97" w:rsidRPr="008C4A97" w:rsidRDefault="008C4A97" w:rsidP="008C4A97">
      <w:pPr>
        <w:pStyle w:val="ListParagraph"/>
        <w:ind w:left="360"/>
        <w:rPr>
          <w:sz w:val="10"/>
          <w:szCs w:val="10"/>
        </w:rPr>
      </w:pPr>
    </w:p>
    <w:p w14:paraId="42B874E7" w14:textId="77777777" w:rsidR="008C4A97" w:rsidRPr="008C4A97" w:rsidRDefault="00E561C9" w:rsidP="008C4A97">
      <w:pPr>
        <w:pStyle w:val="ListParagraph"/>
        <w:rPr>
          <w:rFonts w:eastAsia="Segoe UI"/>
          <w:b/>
        </w:rPr>
      </w:pPr>
      <w:sdt>
        <w:sdtPr>
          <w:rPr>
            <w:b/>
          </w:rPr>
          <w:id w:val="-1874759072"/>
          <w14:checkbox>
            <w14:checked w14:val="0"/>
            <w14:checkedState w14:val="2612" w14:font="MS Gothic"/>
            <w14:uncheckedState w14:val="2610" w14:font="MS Gothic"/>
          </w14:checkbox>
        </w:sdtPr>
        <w:sdtEndPr/>
        <w:sdtContent>
          <w:r w:rsidR="008C4A97" w:rsidRPr="008C4A97">
            <w:rPr>
              <w:rFonts w:ascii="Segoe UI Symbol" w:eastAsia="MS Gothic" w:hAnsi="Segoe UI Symbol" w:cs="Segoe UI Symbol"/>
              <w:b/>
            </w:rPr>
            <w:t>☐</w:t>
          </w:r>
        </w:sdtContent>
      </w:sdt>
      <w:r w:rsidR="008C4A97" w:rsidRPr="008C4A97">
        <w:rPr>
          <w:b/>
        </w:rPr>
        <w:t xml:space="preserve"> </w:t>
      </w:r>
      <w:r w:rsidR="008C4A97" w:rsidRPr="008C4A97">
        <w:t>Quarterly or monthly bank statements showing deposits from the relevant quarters.  The statements must be annotated, if it is not clear, which deposits listed on the bank statement constitute gross receipts (e.g., payments for purchases of goods and services) and which do not (e.g., capital infusions).</w:t>
      </w:r>
    </w:p>
    <w:p w14:paraId="235DC6C9" w14:textId="77777777" w:rsidR="008C4A97" w:rsidRPr="003D6864" w:rsidRDefault="008C4A97" w:rsidP="003D6864">
      <w:pPr>
        <w:pStyle w:val="ListParagraph"/>
      </w:pPr>
    </w:p>
    <w:sectPr w:rsidR="008C4A97" w:rsidRPr="003D6864" w:rsidSect="002D116E">
      <w:headerReference w:type="default" r:id="rId13"/>
      <w:footerReference w:type="default" r:id="rId14"/>
      <w:type w:val="continuous"/>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B45" w14:textId="77777777" w:rsidR="002C27A5" w:rsidRDefault="002C27A5" w:rsidP="00F57AB5">
      <w:r>
        <w:separator/>
      </w:r>
    </w:p>
  </w:endnote>
  <w:endnote w:type="continuationSeparator" w:id="0">
    <w:p w14:paraId="65F8A906" w14:textId="77777777" w:rsidR="002C27A5" w:rsidRDefault="002C27A5" w:rsidP="00F5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egoe U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036A" w14:textId="0BF7260A" w:rsidR="00FF7A35" w:rsidRDefault="00FF7A35" w:rsidP="00D73177">
    <w:pPr>
      <w:pStyle w:val="Footer"/>
      <w:jc w:val="center"/>
    </w:pPr>
    <w:r w:rsidRPr="00EA1143">
      <w:rPr>
        <w:noProof/>
      </w:rPr>
      <w:drawing>
        <wp:inline distT="0" distB="0" distL="0" distR="0" wp14:anchorId="5818E60D" wp14:editId="0D962588">
          <wp:extent cx="6743572" cy="419100"/>
          <wp:effectExtent l="0" t="0" r="635"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Letterhead Foot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6540" cy="4441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4175" w14:textId="77777777" w:rsidR="002C27A5" w:rsidRDefault="002C27A5" w:rsidP="00F57AB5">
      <w:r>
        <w:separator/>
      </w:r>
    </w:p>
  </w:footnote>
  <w:footnote w:type="continuationSeparator" w:id="0">
    <w:p w14:paraId="198355C9" w14:textId="77777777" w:rsidR="002C27A5" w:rsidRDefault="002C27A5" w:rsidP="00F57AB5">
      <w:r>
        <w:continuationSeparator/>
      </w:r>
    </w:p>
  </w:footnote>
  <w:footnote w:id="1">
    <w:p w14:paraId="28990C4E" w14:textId="0AEF623B" w:rsidR="00D35D53" w:rsidRDefault="00D35D53">
      <w:pPr>
        <w:pStyle w:val="FootnoteText"/>
      </w:pPr>
      <w:r>
        <w:rPr>
          <w:rStyle w:val="FootnoteReference"/>
        </w:rPr>
        <w:footnoteRef/>
      </w:r>
      <w:r>
        <w:t xml:space="preserve"> </w:t>
      </w:r>
      <w:r>
        <w:rPr>
          <w:rFonts w:eastAsia="Segoe UI"/>
        </w:rPr>
        <w:t xml:space="preserve">Borrowers using Form 3508S are not required </w:t>
      </w:r>
      <w:r>
        <w:t xml:space="preserve">submit any supporting documentation in connection with First Draw PPP loans.  However, a borrower that received a Second Draw PPP loan of $150,000 or less and uses Form 3508S must, before or at the time of its application for forgiveness, submit documentation </w:t>
      </w:r>
      <w:r w:rsidR="00EA3754">
        <w:t>establishing</w:t>
      </w:r>
      <w:r>
        <w:t xml:space="preserve"> that the borrower experienced a </w:t>
      </w:r>
      <w:r w:rsidR="00EA3754">
        <w:t xml:space="preserve">25% </w:t>
      </w:r>
      <w:r>
        <w:t xml:space="preserve">reduction in </w:t>
      </w:r>
      <w:r w:rsidR="00EA3754">
        <w:t xml:space="preserve">gross </w:t>
      </w:r>
      <w:r>
        <w:t>revenue, unless the borrower already provided such documentation at the time of its application for the Second Draw PPP loan.</w:t>
      </w:r>
      <w:r w:rsidR="00737DB2">
        <w:t xml:space="preserve">  See Section (4) of this Checklist for requirements.</w:t>
      </w:r>
    </w:p>
  </w:footnote>
  <w:footnote w:id="2">
    <w:p w14:paraId="48A007B5" w14:textId="61B5D869" w:rsidR="003D6864" w:rsidRDefault="003D6864">
      <w:pPr>
        <w:pStyle w:val="FootnoteText"/>
      </w:pPr>
      <w:r>
        <w:rPr>
          <w:rStyle w:val="FootnoteReference"/>
        </w:rPr>
        <w:footnoteRef/>
      </w:r>
      <w:r>
        <w:t xml:space="preserve"> Not required for </w:t>
      </w:r>
      <w:r w:rsidR="00683F8B">
        <w:t>b</w:t>
      </w:r>
      <w:r>
        <w:t>orrowers using the SBA Form 3508EZ</w:t>
      </w:r>
      <w:r w:rsidR="00D35D53">
        <w:t xml:space="preserve"> or 3508S</w:t>
      </w:r>
      <w:r>
        <w:t>.</w:t>
      </w:r>
    </w:p>
  </w:footnote>
  <w:footnote w:id="3">
    <w:p w14:paraId="21362DEC" w14:textId="3B99CC03" w:rsidR="008C4A97" w:rsidRDefault="008C4A97">
      <w:pPr>
        <w:pStyle w:val="FootnoteText"/>
      </w:pPr>
      <w:r>
        <w:rPr>
          <w:rStyle w:val="FootnoteReference"/>
        </w:rPr>
        <w:footnoteRef/>
      </w:r>
      <w:r>
        <w:t xml:space="preserve"> Applicable only to Second Draw PPP loans.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3A1D" w14:textId="088CE21D" w:rsidR="00F66F38" w:rsidRDefault="00CB6CA8" w:rsidP="00CB6CA8">
    <w:pPr>
      <w:pStyle w:val="Header"/>
      <w:tabs>
        <w:tab w:val="clear" w:pos="4680"/>
        <w:tab w:val="clear" w:pos="9360"/>
        <w:tab w:val="left" w:pos="7708"/>
      </w:tabs>
      <w:jc w:val="right"/>
    </w:pPr>
    <w:r>
      <w:rPr>
        <w:noProof/>
      </w:rPr>
      <w:drawing>
        <wp:inline distT="0" distB="0" distL="0" distR="0" wp14:anchorId="1FCB245D" wp14:editId="4F3ED59B">
          <wp:extent cx="1019175" cy="3912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6809" cy="405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C17"/>
    <w:multiLevelType w:val="hybridMultilevel"/>
    <w:tmpl w:val="0018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6028C"/>
    <w:multiLevelType w:val="hybridMultilevel"/>
    <w:tmpl w:val="078CF3EE"/>
    <w:lvl w:ilvl="0" w:tplc="893686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91285F"/>
    <w:multiLevelType w:val="multilevel"/>
    <w:tmpl w:val="8FF04E86"/>
    <w:lvl w:ilvl="0">
      <w:start w:val="1"/>
      <w:numFmt w:val="decimal"/>
      <w:lvlText w:val="%1."/>
      <w:lvlJc w:val="left"/>
      <w:pPr>
        <w:tabs>
          <w:tab w:val="left" w:pos="288"/>
        </w:tabs>
        <w:ind w:left="720"/>
      </w:pPr>
      <w:rPr>
        <w:rFonts w:ascii="Myriad Pro" w:eastAsia="Segoe UI" w:hAnsi="Myriad Pro"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11D41"/>
    <w:multiLevelType w:val="hybridMultilevel"/>
    <w:tmpl w:val="F7F4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E6407"/>
    <w:multiLevelType w:val="hybridMultilevel"/>
    <w:tmpl w:val="5EF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B6D0E"/>
    <w:multiLevelType w:val="hybridMultilevel"/>
    <w:tmpl w:val="00C0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94287F"/>
    <w:multiLevelType w:val="hybridMultilevel"/>
    <w:tmpl w:val="A9189DB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ED7191"/>
    <w:multiLevelType w:val="hybridMultilevel"/>
    <w:tmpl w:val="4F56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D74CA"/>
    <w:multiLevelType w:val="hybridMultilevel"/>
    <w:tmpl w:val="631E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34BEE"/>
    <w:multiLevelType w:val="hybridMultilevel"/>
    <w:tmpl w:val="4420D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D20291"/>
    <w:multiLevelType w:val="hybridMultilevel"/>
    <w:tmpl w:val="56F4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0071A5"/>
    <w:multiLevelType w:val="hybridMultilevel"/>
    <w:tmpl w:val="363E3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D3125A"/>
    <w:multiLevelType w:val="multilevel"/>
    <w:tmpl w:val="F2927530"/>
    <w:lvl w:ilvl="0">
      <w:start w:val="1"/>
      <w:numFmt w:val="lowerLetter"/>
      <w:lvlText w:val="%1."/>
      <w:lvlJc w:val="left"/>
      <w:pPr>
        <w:tabs>
          <w:tab w:val="left" w:pos="360"/>
        </w:tabs>
        <w:ind w:left="720"/>
      </w:pPr>
      <w:rPr>
        <w:rFonts w:ascii="Myriad Pro" w:eastAsia="Segoe UI" w:hAnsi="Myriad Pro" w:hint="default"/>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6A066F"/>
    <w:multiLevelType w:val="multilevel"/>
    <w:tmpl w:val="F6AA769E"/>
    <w:lvl w:ilvl="0">
      <w:start w:val="1"/>
      <w:numFmt w:val="lowerRoman"/>
      <w:lvlText w:val="%1."/>
      <w:lvlJc w:val="left"/>
      <w:pPr>
        <w:tabs>
          <w:tab w:val="left" w:pos="288"/>
        </w:tabs>
        <w:ind w:left="720"/>
      </w:pPr>
      <w:rPr>
        <w:rFonts w:ascii="Myriad Pro" w:eastAsia="Segoe UI" w:hAnsi="Myriad Pro" w:hint="default"/>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3"/>
  </w:num>
  <w:num w:numId="4">
    <w:abstractNumId w:val="4"/>
  </w:num>
  <w:num w:numId="5">
    <w:abstractNumId w:val="7"/>
  </w:num>
  <w:num w:numId="6">
    <w:abstractNumId w:val="9"/>
  </w:num>
  <w:num w:numId="7">
    <w:abstractNumId w:val="1"/>
  </w:num>
  <w:num w:numId="8">
    <w:abstractNumId w:val="8"/>
  </w:num>
  <w:num w:numId="9">
    <w:abstractNumId w:val="10"/>
  </w:num>
  <w:num w:numId="10">
    <w:abstractNumId w:val="5"/>
  </w:num>
  <w:num w:numId="11">
    <w:abstractNumId w:val="0"/>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1"/>
    <w:rsid w:val="00001C7A"/>
    <w:rsid w:val="0001619D"/>
    <w:rsid w:val="00022BC5"/>
    <w:rsid w:val="000322A6"/>
    <w:rsid w:val="000B1F25"/>
    <w:rsid w:val="000B204E"/>
    <w:rsid w:val="00105220"/>
    <w:rsid w:val="00116398"/>
    <w:rsid w:val="00123908"/>
    <w:rsid w:val="00125744"/>
    <w:rsid w:val="00134B3F"/>
    <w:rsid w:val="00135B8C"/>
    <w:rsid w:val="001479D4"/>
    <w:rsid w:val="00160461"/>
    <w:rsid w:val="00172C10"/>
    <w:rsid w:val="001956D2"/>
    <w:rsid w:val="001A3E4B"/>
    <w:rsid w:val="001D2F1F"/>
    <w:rsid w:val="001D3D38"/>
    <w:rsid w:val="002025E5"/>
    <w:rsid w:val="00204E19"/>
    <w:rsid w:val="00224980"/>
    <w:rsid w:val="00237B7D"/>
    <w:rsid w:val="00252D29"/>
    <w:rsid w:val="002750D2"/>
    <w:rsid w:val="00282DAF"/>
    <w:rsid w:val="002A2EDE"/>
    <w:rsid w:val="002B7E53"/>
    <w:rsid w:val="002C08D9"/>
    <w:rsid w:val="002C27A5"/>
    <w:rsid w:val="002D116E"/>
    <w:rsid w:val="002D2520"/>
    <w:rsid w:val="002E5EF6"/>
    <w:rsid w:val="002E6213"/>
    <w:rsid w:val="002F2993"/>
    <w:rsid w:val="002F52BE"/>
    <w:rsid w:val="00302EE5"/>
    <w:rsid w:val="0032187D"/>
    <w:rsid w:val="0033007A"/>
    <w:rsid w:val="00331E09"/>
    <w:rsid w:val="003475BC"/>
    <w:rsid w:val="00361F40"/>
    <w:rsid w:val="00376182"/>
    <w:rsid w:val="003957B1"/>
    <w:rsid w:val="003A0A97"/>
    <w:rsid w:val="003B3F6E"/>
    <w:rsid w:val="003B51A9"/>
    <w:rsid w:val="003D3757"/>
    <w:rsid w:val="003D6864"/>
    <w:rsid w:val="003E5CFC"/>
    <w:rsid w:val="003F6CF0"/>
    <w:rsid w:val="003F6D05"/>
    <w:rsid w:val="00405E7F"/>
    <w:rsid w:val="00420285"/>
    <w:rsid w:val="00426036"/>
    <w:rsid w:val="004509D0"/>
    <w:rsid w:val="00453AA3"/>
    <w:rsid w:val="004571F9"/>
    <w:rsid w:val="00484EC2"/>
    <w:rsid w:val="00486679"/>
    <w:rsid w:val="0049119B"/>
    <w:rsid w:val="004A2FD2"/>
    <w:rsid w:val="004A4DEA"/>
    <w:rsid w:val="004E5E52"/>
    <w:rsid w:val="004F3CC7"/>
    <w:rsid w:val="005077D1"/>
    <w:rsid w:val="0051277F"/>
    <w:rsid w:val="00512F7B"/>
    <w:rsid w:val="00513C0A"/>
    <w:rsid w:val="005259E1"/>
    <w:rsid w:val="005373D9"/>
    <w:rsid w:val="005406F0"/>
    <w:rsid w:val="00542BE1"/>
    <w:rsid w:val="0055033C"/>
    <w:rsid w:val="00551511"/>
    <w:rsid w:val="00566773"/>
    <w:rsid w:val="00566DC2"/>
    <w:rsid w:val="00577B69"/>
    <w:rsid w:val="005855E6"/>
    <w:rsid w:val="0059477B"/>
    <w:rsid w:val="00594AEB"/>
    <w:rsid w:val="00595894"/>
    <w:rsid w:val="00596810"/>
    <w:rsid w:val="005A6951"/>
    <w:rsid w:val="005B0304"/>
    <w:rsid w:val="005C7602"/>
    <w:rsid w:val="005E4D23"/>
    <w:rsid w:val="00612664"/>
    <w:rsid w:val="0062471F"/>
    <w:rsid w:val="00647794"/>
    <w:rsid w:val="00683F8B"/>
    <w:rsid w:val="0068483B"/>
    <w:rsid w:val="00694D6A"/>
    <w:rsid w:val="006A2550"/>
    <w:rsid w:val="006B6966"/>
    <w:rsid w:val="006B7088"/>
    <w:rsid w:val="006D3028"/>
    <w:rsid w:val="006F695E"/>
    <w:rsid w:val="006F713A"/>
    <w:rsid w:val="0070003A"/>
    <w:rsid w:val="00701341"/>
    <w:rsid w:val="007061B9"/>
    <w:rsid w:val="00737DB2"/>
    <w:rsid w:val="00752943"/>
    <w:rsid w:val="00755E89"/>
    <w:rsid w:val="00765E0A"/>
    <w:rsid w:val="00774309"/>
    <w:rsid w:val="00784540"/>
    <w:rsid w:val="007B0E44"/>
    <w:rsid w:val="007E42A1"/>
    <w:rsid w:val="0083658A"/>
    <w:rsid w:val="008742A0"/>
    <w:rsid w:val="008B63FB"/>
    <w:rsid w:val="008C230F"/>
    <w:rsid w:val="008C4A97"/>
    <w:rsid w:val="008E3780"/>
    <w:rsid w:val="008E4AC2"/>
    <w:rsid w:val="008E56AA"/>
    <w:rsid w:val="008E5C54"/>
    <w:rsid w:val="00903F3A"/>
    <w:rsid w:val="0090591E"/>
    <w:rsid w:val="00910ABC"/>
    <w:rsid w:val="00962B22"/>
    <w:rsid w:val="00966C59"/>
    <w:rsid w:val="009A111D"/>
    <w:rsid w:val="009B54D8"/>
    <w:rsid w:val="009C16F5"/>
    <w:rsid w:val="009C2245"/>
    <w:rsid w:val="009C7160"/>
    <w:rsid w:val="009F0CA8"/>
    <w:rsid w:val="00A20D24"/>
    <w:rsid w:val="00A37629"/>
    <w:rsid w:val="00A42008"/>
    <w:rsid w:val="00A5493A"/>
    <w:rsid w:val="00A65F14"/>
    <w:rsid w:val="00A96CF9"/>
    <w:rsid w:val="00AA6290"/>
    <w:rsid w:val="00AC7E7E"/>
    <w:rsid w:val="00AE4E9E"/>
    <w:rsid w:val="00B05AC1"/>
    <w:rsid w:val="00B060CF"/>
    <w:rsid w:val="00B126FD"/>
    <w:rsid w:val="00B24F61"/>
    <w:rsid w:val="00B53F46"/>
    <w:rsid w:val="00B602E6"/>
    <w:rsid w:val="00B722A9"/>
    <w:rsid w:val="00B94690"/>
    <w:rsid w:val="00B967DC"/>
    <w:rsid w:val="00BA134E"/>
    <w:rsid w:val="00BF0D25"/>
    <w:rsid w:val="00C00A92"/>
    <w:rsid w:val="00C02049"/>
    <w:rsid w:val="00C06431"/>
    <w:rsid w:val="00C1567B"/>
    <w:rsid w:val="00C20181"/>
    <w:rsid w:val="00C25D74"/>
    <w:rsid w:val="00C36F42"/>
    <w:rsid w:val="00C43CD2"/>
    <w:rsid w:val="00C638D5"/>
    <w:rsid w:val="00C86BA4"/>
    <w:rsid w:val="00C91164"/>
    <w:rsid w:val="00C9663A"/>
    <w:rsid w:val="00CA3174"/>
    <w:rsid w:val="00CB6CA8"/>
    <w:rsid w:val="00CE0B8F"/>
    <w:rsid w:val="00CF224C"/>
    <w:rsid w:val="00D0008F"/>
    <w:rsid w:val="00D2609A"/>
    <w:rsid w:val="00D35D53"/>
    <w:rsid w:val="00D73177"/>
    <w:rsid w:val="00D931FB"/>
    <w:rsid w:val="00D93FF0"/>
    <w:rsid w:val="00D94D89"/>
    <w:rsid w:val="00DD1D70"/>
    <w:rsid w:val="00DE771A"/>
    <w:rsid w:val="00DF19B8"/>
    <w:rsid w:val="00DF2E39"/>
    <w:rsid w:val="00E033E2"/>
    <w:rsid w:val="00E14DDD"/>
    <w:rsid w:val="00E30059"/>
    <w:rsid w:val="00E415D6"/>
    <w:rsid w:val="00E4370D"/>
    <w:rsid w:val="00E561C9"/>
    <w:rsid w:val="00E56A48"/>
    <w:rsid w:val="00E76585"/>
    <w:rsid w:val="00E92E61"/>
    <w:rsid w:val="00E95E55"/>
    <w:rsid w:val="00EA3754"/>
    <w:rsid w:val="00ED57D5"/>
    <w:rsid w:val="00EE3B50"/>
    <w:rsid w:val="00EE4A84"/>
    <w:rsid w:val="00EE5741"/>
    <w:rsid w:val="00F04616"/>
    <w:rsid w:val="00F1007F"/>
    <w:rsid w:val="00F20CD5"/>
    <w:rsid w:val="00F27049"/>
    <w:rsid w:val="00F40737"/>
    <w:rsid w:val="00F450A5"/>
    <w:rsid w:val="00F5038E"/>
    <w:rsid w:val="00F56D55"/>
    <w:rsid w:val="00F5736E"/>
    <w:rsid w:val="00F57AB5"/>
    <w:rsid w:val="00F619D9"/>
    <w:rsid w:val="00F66F38"/>
    <w:rsid w:val="00F67A70"/>
    <w:rsid w:val="00F73079"/>
    <w:rsid w:val="00FD4C3F"/>
    <w:rsid w:val="00FF6B4D"/>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C3B96"/>
  <w15:docId w15:val="{5BDFAC2A-3EFA-428B-BF58-EF3ADC8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58A"/>
    <w:rPr>
      <w:rFonts w:ascii="Tahoma" w:hAnsi="Tahoma" w:cs="Tahoma"/>
      <w:sz w:val="16"/>
      <w:szCs w:val="16"/>
    </w:rPr>
  </w:style>
  <w:style w:type="character" w:customStyle="1" w:styleId="BalloonTextChar">
    <w:name w:val="Balloon Text Char"/>
    <w:basedOn w:val="DefaultParagraphFont"/>
    <w:link w:val="BalloonText"/>
    <w:uiPriority w:val="99"/>
    <w:semiHidden/>
    <w:rsid w:val="0083658A"/>
    <w:rPr>
      <w:rFonts w:ascii="Tahoma" w:hAnsi="Tahoma" w:cs="Tahoma"/>
      <w:sz w:val="16"/>
      <w:szCs w:val="16"/>
    </w:rPr>
  </w:style>
  <w:style w:type="paragraph" w:styleId="Header">
    <w:name w:val="header"/>
    <w:basedOn w:val="Normal"/>
    <w:link w:val="HeaderChar"/>
    <w:uiPriority w:val="99"/>
    <w:unhideWhenUsed/>
    <w:rsid w:val="00F57AB5"/>
    <w:pPr>
      <w:tabs>
        <w:tab w:val="center" w:pos="4680"/>
        <w:tab w:val="right" w:pos="9360"/>
      </w:tabs>
    </w:pPr>
  </w:style>
  <w:style w:type="character" w:customStyle="1" w:styleId="HeaderChar">
    <w:name w:val="Header Char"/>
    <w:basedOn w:val="DefaultParagraphFont"/>
    <w:link w:val="Header"/>
    <w:uiPriority w:val="99"/>
    <w:rsid w:val="00F57AB5"/>
  </w:style>
  <w:style w:type="paragraph" w:styleId="Footer">
    <w:name w:val="footer"/>
    <w:basedOn w:val="Normal"/>
    <w:link w:val="FooterChar"/>
    <w:uiPriority w:val="99"/>
    <w:unhideWhenUsed/>
    <w:rsid w:val="00F57AB5"/>
    <w:pPr>
      <w:tabs>
        <w:tab w:val="center" w:pos="4680"/>
        <w:tab w:val="right" w:pos="9360"/>
      </w:tabs>
    </w:pPr>
  </w:style>
  <w:style w:type="character" w:customStyle="1" w:styleId="FooterChar">
    <w:name w:val="Footer Char"/>
    <w:basedOn w:val="DefaultParagraphFont"/>
    <w:link w:val="Footer"/>
    <w:uiPriority w:val="99"/>
    <w:rsid w:val="00F57AB5"/>
  </w:style>
  <w:style w:type="character" w:styleId="Hyperlink">
    <w:name w:val="Hyperlink"/>
    <w:basedOn w:val="DefaultParagraphFont"/>
    <w:uiPriority w:val="99"/>
    <w:unhideWhenUsed/>
    <w:rsid w:val="00F57AB5"/>
    <w:rPr>
      <w:color w:val="0000FF" w:themeColor="hyperlink"/>
      <w:u w:val="single"/>
    </w:rPr>
  </w:style>
  <w:style w:type="table" w:styleId="TableGrid">
    <w:name w:val="Table Grid"/>
    <w:basedOn w:val="TableNormal"/>
    <w:uiPriority w:val="59"/>
    <w:rsid w:val="003E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15D6"/>
    <w:rPr>
      <w:color w:val="808080"/>
    </w:rPr>
  </w:style>
  <w:style w:type="paragraph" w:styleId="NoSpacing">
    <w:name w:val="No Spacing"/>
    <w:uiPriority w:val="1"/>
    <w:qFormat/>
    <w:rsid w:val="00224980"/>
  </w:style>
  <w:style w:type="paragraph" w:styleId="ListParagraph">
    <w:name w:val="List Paragraph"/>
    <w:basedOn w:val="Normal"/>
    <w:uiPriority w:val="34"/>
    <w:qFormat/>
    <w:rsid w:val="00DF19B8"/>
    <w:pPr>
      <w:ind w:left="720"/>
      <w:contextualSpacing/>
    </w:pPr>
  </w:style>
  <w:style w:type="character" w:styleId="CommentReference">
    <w:name w:val="annotation reference"/>
    <w:basedOn w:val="DefaultParagraphFont"/>
    <w:uiPriority w:val="99"/>
    <w:semiHidden/>
    <w:unhideWhenUsed/>
    <w:rsid w:val="00B967DC"/>
    <w:rPr>
      <w:sz w:val="16"/>
      <w:szCs w:val="16"/>
    </w:rPr>
  </w:style>
  <w:style w:type="paragraph" w:styleId="CommentText">
    <w:name w:val="annotation text"/>
    <w:basedOn w:val="Normal"/>
    <w:link w:val="CommentTextChar"/>
    <w:uiPriority w:val="99"/>
    <w:semiHidden/>
    <w:unhideWhenUsed/>
    <w:rsid w:val="00B967DC"/>
    <w:rPr>
      <w:sz w:val="20"/>
      <w:szCs w:val="20"/>
    </w:rPr>
  </w:style>
  <w:style w:type="character" w:customStyle="1" w:styleId="CommentTextChar">
    <w:name w:val="Comment Text Char"/>
    <w:basedOn w:val="DefaultParagraphFont"/>
    <w:link w:val="CommentText"/>
    <w:uiPriority w:val="99"/>
    <w:semiHidden/>
    <w:rsid w:val="00B967DC"/>
    <w:rPr>
      <w:sz w:val="20"/>
      <w:szCs w:val="20"/>
    </w:rPr>
  </w:style>
  <w:style w:type="paragraph" w:styleId="CommentSubject">
    <w:name w:val="annotation subject"/>
    <w:basedOn w:val="CommentText"/>
    <w:next w:val="CommentText"/>
    <w:link w:val="CommentSubjectChar"/>
    <w:uiPriority w:val="99"/>
    <w:semiHidden/>
    <w:unhideWhenUsed/>
    <w:rsid w:val="00B967DC"/>
    <w:rPr>
      <w:b/>
      <w:bCs/>
    </w:rPr>
  </w:style>
  <w:style w:type="character" w:customStyle="1" w:styleId="CommentSubjectChar">
    <w:name w:val="Comment Subject Char"/>
    <w:basedOn w:val="CommentTextChar"/>
    <w:link w:val="CommentSubject"/>
    <w:uiPriority w:val="99"/>
    <w:semiHidden/>
    <w:rsid w:val="00B967DC"/>
    <w:rPr>
      <w:b/>
      <w:bCs/>
      <w:sz w:val="20"/>
      <w:szCs w:val="20"/>
    </w:rPr>
  </w:style>
  <w:style w:type="paragraph" w:styleId="FootnoteText">
    <w:name w:val="footnote text"/>
    <w:basedOn w:val="Normal"/>
    <w:link w:val="FootnoteTextChar"/>
    <w:uiPriority w:val="99"/>
    <w:semiHidden/>
    <w:unhideWhenUsed/>
    <w:rsid w:val="00EE5741"/>
    <w:rPr>
      <w:sz w:val="20"/>
      <w:szCs w:val="20"/>
    </w:rPr>
  </w:style>
  <w:style w:type="character" w:customStyle="1" w:styleId="FootnoteTextChar">
    <w:name w:val="Footnote Text Char"/>
    <w:basedOn w:val="DefaultParagraphFont"/>
    <w:link w:val="FootnoteText"/>
    <w:uiPriority w:val="99"/>
    <w:semiHidden/>
    <w:rsid w:val="00EE5741"/>
    <w:rPr>
      <w:sz w:val="20"/>
      <w:szCs w:val="20"/>
    </w:rPr>
  </w:style>
  <w:style w:type="character" w:styleId="FootnoteReference">
    <w:name w:val="footnote reference"/>
    <w:basedOn w:val="DefaultParagraphFont"/>
    <w:uiPriority w:val="99"/>
    <w:semiHidden/>
    <w:unhideWhenUsed/>
    <w:rsid w:val="00EE5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6990">
      <w:bodyDiv w:val="1"/>
      <w:marLeft w:val="0"/>
      <w:marRight w:val="0"/>
      <w:marTop w:val="0"/>
      <w:marBottom w:val="0"/>
      <w:divBdr>
        <w:top w:val="none" w:sz="0" w:space="0" w:color="auto"/>
        <w:left w:val="none" w:sz="0" w:space="0" w:color="auto"/>
        <w:bottom w:val="none" w:sz="0" w:space="0" w:color="auto"/>
        <w:right w:val="none" w:sz="0" w:space="0" w:color="auto"/>
      </w:divBdr>
    </w:div>
    <w:div w:id="1543445509">
      <w:bodyDiv w:val="1"/>
      <w:marLeft w:val="0"/>
      <w:marRight w:val="0"/>
      <w:marTop w:val="0"/>
      <w:marBottom w:val="0"/>
      <w:divBdr>
        <w:top w:val="none" w:sz="0" w:space="0" w:color="auto"/>
        <w:left w:val="none" w:sz="0" w:space="0" w:color="auto"/>
        <w:bottom w:val="none" w:sz="0" w:space="0" w:color="auto"/>
        <w:right w:val="none" w:sz="0" w:space="0" w:color="auto"/>
      </w:divBdr>
      <w:divsChild>
        <w:div w:id="1044332624">
          <w:marLeft w:val="0"/>
          <w:marRight w:val="0"/>
          <w:marTop w:val="0"/>
          <w:marBottom w:val="0"/>
          <w:divBdr>
            <w:top w:val="none" w:sz="0" w:space="0" w:color="auto"/>
            <w:left w:val="none" w:sz="0" w:space="0" w:color="auto"/>
            <w:bottom w:val="none" w:sz="0" w:space="0" w:color="auto"/>
            <w:right w:val="none" w:sz="0" w:space="0" w:color="auto"/>
          </w:divBdr>
          <w:divsChild>
            <w:div w:id="541863761">
              <w:marLeft w:val="0"/>
              <w:marRight w:val="0"/>
              <w:marTop w:val="0"/>
              <w:marBottom w:val="0"/>
              <w:divBdr>
                <w:top w:val="none" w:sz="0" w:space="0" w:color="auto"/>
                <w:left w:val="none" w:sz="0" w:space="0" w:color="auto"/>
                <w:bottom w:val="none" w:sz="0" w:space="0" w:color="auto"/>
                <w:right w:val="none" w:sz="0" w:space="0" w:color="auto"/>
              </w:divBdr>
              <w:divsChild>
                <w:div w:id="737096054">
                  <w:marLeft w:val="0"/>
                  <w:marRight w:val="0"/>
                  <w:marTop w:val="0"/>
                  <w:marBottom w:val="0"/>
                  <w:divBdr>
                    <w:top w:val="none" w:sz="0" w:space="0" w:color="auto"/>
                    <w:left w:val="none" w:sz="0" w:space="0" w:color="auto"/>
                    <w:bottom w:val="none" w:sz="0" w:space="0" w:color="auto"/>
                    <w:right w:val="none" w:sz="0" w:space="0" w:color="auto"/>
                  </w:divBdr>
                  <w:divsChild>
                    <w:div w:id="1039621715">
                      <w:marLeft w:val="0"/>
                      <w:marRight w:val="0"/>
                      <w:marTop w:val="0"/>
                      <w:marBottom w:val="0"/>
                      <w:divBdr>
                        <w:top w:val="none" w:sz="0" w:space="0" w:color="auto"/>
                        <w:left w:val="none" w:sz="0" w:space="0" w:color="auto"/>
                        <w:bottom w:val="none" w:sz="0" w:space="0" w:color="auto"/>
                        <w:right w:val="none" w:sz="0" w:space="0" w:color="auto"/>
                      </w:divBdr>
                      <w:divsChild>
                        <w:div w:id="723410138">
                          <w:marLeft w:val="0"/>
                          <w:marRight w:val="0"/>
                          <w:marTop w:val="0"/>
                          <w:marBottom w:val="0"/>
                          <w:divBdr>
                            <w:top w:val="none" w:sz="0" w:space="0" w:color="auto"/>
                            <w:left w:val="none" w:sz="0" w:space="0" w:color="auto"/>
                            <w:bottom w:val="none" w:sz="0" w:space="0" w:color="auto"/>
                            <w:right w:val="none" w:sz="0" w:space="0" w:color="auto"/>
                          </w:divBdr>
                          <w:divsChild>
                            <w:div w:id="431901399">
                              <w:marLeft w:val="0"/>
                              <w:marRight w:val="0"/>
                              <w:marTop w:val="0"/>
                              <w:marBottom w:val="0"/>
                              <w:divBdr>
                                <w:top w:val="none" w:sz="0" w:space="0" w:color="auto"/>
                                <w:left w:val="none" w:sz="0" w:space="0" w:color="auto"/>
                                <w:bottom w:val="none" w:sz="0" w:space="0" w:color="auto"/>
                                <w:right w:val="none" w:sz="0" w:space="0" w:color="auto"/>
                              </w:divBdr>
                              <w:divsChild>
                                <w:div w:id="1421680379">
                                  <w:marLeft w:val="0"/>
                                  <w:marRight w:val="0"/>
                                  <w:marTop w:val="0"/>
                                  <w:marBottom w:val="0"/>
                                  <w:divBdr>
                                    <w:top w:val="none" w:sz="0" w:space="0" w:color="auto"/>
                                    <w:left w:val="none" w:sz="0" w:space="0" w:color="auto"/>
                                    <w:bottom w:val="none" w:sz="0" w:space="0" w:color="auto"/>
                                    <w:right w:val="none" w:sz="0" w:space="0" w:color="auto"/>
                                  </w:divBdr>
                                  <w:divsChild>
                                    <w:div w:id="1662198852">
                                      <w:marLeft w:val="0"/>
                                      <w:marRight w:val="0"/>
                                      <w:marTop w:val="0"/>
                                      <w:marBottom w:val="0"/>
                                      <w:divBdr>
                                        <w:top w:val="none" w:sz="0" w:space="0" w:color="auto"/>
                                        <w:left w:val="none" w:sz="0" w:space="0" w:color="auto"/>
                                        <w:bottom w:val="none" w:sz="0" w:space="0" w:color="auto"/>
                                        <w:right w:val="none" w:sz="0" w:space="0" w:color="auto"/>
                                      </w:divBdr>
                                      <w:divsChild>
                                        <w:div w:id="2088191050">
                                          <w:marLeft w:val="0"/>
                                          <w:marRight w:val="0"/>
                                          <w:marTop w:val="0"/>
                                          <w:marBottom w:val="0"/>
                                          <w:divBdr>
                                            <w:top w:val="none" w:sz="0" w:space="0" w:color="auto"/>
                                            <w:left w:val="none" w:sz="0" w:space="0" w:color="auto"/>
                                            <w:bottom w:val="none" w:sz="0" w:space="0" w:color="auto"/>
                                            <w:right w:val="none" w:sz="0" w:space="0" w:color="auto"/>
                                          </w:divBdr>
                                          <w:divsChild>
                                            <w:div w:id="60374147">
                                              <w:marLeft w:val="0"/>
                                              <w:marRight w:val="0"/>
                                              <w:marTop w:val="0"/>
                                              <w:marBottom w:val="0"/>
                                              <w:divBdr>
                                                <w:top w:val="none" w:sz="0" w:space="0" w:color="auto"/>
                                                <w:left w:val="none" w:sz="0" w:space="0" w:color="auto"/>
                                                <w:bottom w:val="none" w:sz="0" w:space="0" w:color="auto"/>
                                                <w:right w:val="none" w:sz="0" w:space="0" w:color="auto"/>
                                              </w:divBdr>
                                              <w:divsChild>
                                                <w:div w:id="1357268617">
                                                  <w:marLeft w:val="0"/>
                                                  <w:marRight w:val="0"/>
                                                  <w:marTop w:val="0"/>
                                                  <w:marBottom w:val="0"/>
                                                  <w:divBdr>
                                                    <w:top w:val="none" w:sz="0" w:space="0" w:color="auto"/>
                                                    <w:left w:val="none" w:sz="0" w:space="0" w:color="auto"/>
                                                    <w:bottom w:val="none" w:sz="0" w:space="0" w:color="auto"/>
                                                    <w:right w:val="none" w:sz="0" w:space="0" w:color="auto"/>
                                                  </w:divBdr>
                                                  <w:divsChild>
                                                    <w:div w:id="838277784">
                                                      <w:marLeft w:val="0"/>
                                                      <w:marRight w:val="0"/>
                                                      <w:marTop w:val="0"/>
                                                      <w:marBottom w:val="0"/>
                                                      <w:divBdr>
                                                        <w:top w:val="none" w:sz="0" w:space="0" w:color="auto"/>
                                                        <w:left w:val="none" w:sz="0" w:space="0" w:color="auto"/>
                                                        <w:bottom w:val="none" w:sz="0" w:space="0" w:color="auto"/>
                                                        <w:right w:val="none" w:sz="0" w:space="0" w:color="auto"/>
                                                      </w:divBdr>
                                                      <w:divsChild>
                                                        <w:div w:id="1577940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878956">
      <w:bodyDiv w:val="1"/>
      <w:marLeft w:val="0"/>
      <w:marRight w:val="0"/>
      <w:marTop w:val="0"/>
      <w:marBottom w:val="0"/>
      <w:divBdr>
        <w:top w:val="none" w:sz="0" w:space="0" w:color="auto"/>
        <w:left w:val="none" w:sz="0" w:space="0" w:color="auto"/>
        <w:bottom w:val="none" w:sz="0" w:space="0" w:color="auto"/>
        <w:right w:val="none" w:sz="0" w:space="0" w:color="auto"/>
      </w:divBdr>
    </w:div>
    <w:div w:id="1841965306">
      <w:bodyDiv w:val="1"/>
      <w:marLeft w:val="0"/>
      <w:marRight w:val="0"/>
      <w:marTop w:val="0"/>
      <w:marBottom w:val="0"/>
      <w:divBdr>
        <w:top w:val="none" w:sz="0" w:space="0" w:color="auto"/>
        <w:left w:val="none" w:sz="0" w:space="0" w:color="auto"/>
        <w:bottom w:val="none" w:sz="0" w:space="0" w:color="auto"/>
        <w:right w:val="none" w:sz="0" w:space="0" w:color="auto"/>
      </w:divBdr>
      <w:divsChild>
        <w:div w:id="514272325">
          <w:marLeft w:val="0"/>
          <w:marRight w:val="0"/>
          <w:marTop w:val="0"/>
          <w:marBottom w:val="0"/>
          <w:divBdr>
            <w:top w:val="none" w:sz="0" w:space="0" w:color="auto"/>
            <w:left w:val="none" w:sz="0" w:space="0" w:color="auto"/>
            <w:bottom w:val="none" w:sz="0" w:space="0" w:color="auto"/>
            <w:right w:val="none" w:sz="0" w:space="0" w:color="auto"/>
          </w:divBdr>
          <w:divsChild>
            <w:div w:id="844173774">
              <w:marLeft w:val="-225"/>
              <w:marRight w:val="-225"/>
              <w:marTop w:val="0"/>
              <w:marBottom w:val="0"/>
              <w:divBdr>
                <w:top w:val="none" w:sz="0" w:space="0" w:color="auto"/>
                <w:left w:val="none" w:sz="0" w:space="0" w:color="auto"/>
                <w:bottom w:val="none" w:sz="0" w:space="0" w:color="auto"/>
                <w:right w:val="none" w:sz="0" w:space="0" w:color="auto"/>
              </w:divBdr>
              <w:divsChild>
                <w:div w:id="275522310">
                  <w:marLeft w:val="0"/>
                  <w:marRight w:val="0"/>
                  <w:marTop w:val="0"/>
                  <w:marBottom w:val="0"/>
                  <w:divBdr>
                    <w:top w:val="none" w:sz="0" w:space="0" w:color="auto"/>
                    <w:left w:val="none" w:sz="0" w:space="0" w:color="auto"/>
                    <w:bottom w:val="none" w:sz="0" w:space="0" w:color="auto"/>
                    <w:right w:val="none" w:sz="0" w:space="0" w:color="auto"/>
                  </w:divBdr>
                  <w:divsChild>
                    <w:div w:id="2980546">
                      <w:marLeft w:val="-225"/>
                      <w:marRight w:val="-225"/>
                      <w:marTop w:val="0"/>
                      <w:marBottom w:val="0"/>
                      <w:divBdr>
                        <w:top w:val="none" w:sz="0" w:space="0" w:color="auto"/>
                        <w:left w:val="none" w:sz="0" w:space="0" w:color="auto"/>
                        <w:bottom w:val="none" w:sz="0" w:space="0" w:color="auto"/>
                        <w:right w:val="none" w:sz="0" w:space="0" w:color="auto"/>
                      </w:divBdr>
                      <w:divsChild>
                        <w:div w:id="1971666201">
                          <w:marLeft w:val="0"/>
                          <w:marRight w:val="0"/>
                          <w:marTop w:val="0"/>
                          <w:marBottom w:val="0"/>
                          <w:divBdr>
                            <w:top w:val="none" w:sz="0" w:space="0" w:color="auto"/>
                            <w:left w:val="none" w:sz="0" w:space="0" w:color="auto"/>
                            <w:bottom w:val="none" w:sz="0" w:space="0" w:color="auto"/>
                            <w:right w:val="none" w:sz="0" w:space="0" w:color="auto"/>
                          </w:divBdr>
                          <w:divsChild>
                            <w:div w:id="320087376">
                              <w:marLeft w:val="0"/>
                              <w:marRight w:val="0"/>
                              <w:marTop w:val="0"/>
                              <w:marBottom w:val="0"/>
                              <w:divBdr>
                                <w:top w:val="none" w:sz="0" w:space="0" w:color="auto"/>
                                <w:left w:val="none" w:sz="0" w:space="0" w:color="auto"/>
                                <w:bottom w:val="none" w:sz="0" w:space="0" w:color="auto"/>
                                <w:right w:val="none" w:sz="0" w:space="0" w:color="auto"/>
                              </w:divBdr>
                              <w:divsChild>
                                <w:div w:id="1207719539">
                                  <w:marLeft w:val="0"/>
                                  <w:marRight w:val="0"/>
                                  <w:marTop w:val="300"/>
                                  <w:marBottom w:val="300"/>
                                  <w:divBdr>
                                    <w:top w:val="none" w:sz="0" w:space="0" w:color="auto"/>
                                    <w:left w:val="none" w:sz="0" w:space="0" w:color="auto"/>
                                    <w:bottom w:val="none" w:sz="0" w:space="0" w:color="auto"/>
                                    <w:right w:val="none" w:sz="0" w:space="0" w:color="auto"/>
                                  </w:divBdr>
                                  <w:divsChild>
                                    <w:div w:id="1285384715">
                                      <w:marLeft w:val="0"/>
                                      <w:marRight w:val="0"/>
                                      <w:marTop w:val="120"/>
                                      <w:marBottom w:val="120"/>
                                      <w:divBdr>
                                        <w:top w:val="none" w:sz="0" w:space="0" w:color="auto"/>
                                        <w:left w:val="none" w:sz="0" w:space="0" w:color="auto"/>
                                        <w:bottom w:val="none" w:sz="0" w:space="0" w:color="auto"/>
                                        <w:right w:val="none" w:sz="0" w:space="0" w:color="auto"/>
                                      </w:divBdr>
                                    </w:div>
                                    <w:div w:id="1392146800">
                                      <w:marLeft w:val="0"/>
                                      <w:marRight w:val="0"/>
                                      <w:marTop w:val="120"/>
                                      <w:marBottom w:val="120"/>
                                      <w:divBdr>
                                        <w:top w:val="none" w:sz="0" w:space="0" w:color="auto"/>
                                        <w:left w:val="none" w:sz="0" w:space="0" w:color="auto"/>
                                        <w:bottom w:val="none" w:sz="0" w:space="0" w:color="auto"/>
                                        <w:right w:val="none" w:sz="0" w:space="0" w:color="auto"/>
                                      </w:divBdr>
                                    </w:div>
                                    <w:div w:id="20027333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www.treasur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992BFBC21824CA3223339BC6B1091" ma:contentTypeVersion="" ma:contentTypeDescription="Create a new document." ma:contentTypeScope="" ma:versionID="a75e07ad6a177708e0bdc082ec551233">
  <xsd:schema xmlns:xsd="http://www.w3.org/2001/XMLSchema" xmlns:xs="http://www.w3.org/2001/XMLSchema" xmlns:p="http://schemas.microsoft.com/office/2006/metadata/properties" xmlns:ns2="ff591b8a-c6de-4f3e-b6fb-10ce3a3ecaec" targetNamespace="http://schemas.microsoft.com/office/2006/metadata/properties" ma:root="true" ma:fieldsID="29ffffbef679d37cd655e46aa2811454" ns2:_="">
    <xsd:import namespace="ff591b8a-c6de-4f3e-b6fb-10ce3a3eca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91b8a-c6de-4f3e-b6fb-10ce3a3ec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5D2E-2D6A-469B-9965-D946BFF66F01}">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f591b8a-c6de-4f3e-b6fb-10ce3a3ecaec"/>
    <ds:schemaRef ds:uri="http://purl.org/dc/terms/"/>
    <ds:schemaRef ds:uri="http://purl.org/dc/dcmitype/"/>
  </ds:schemaRefs>
</ds:datastoreItem>
</file>

<file path=customXml/itemProps2.xml><?xml version="1.0" encoding="utf-8"?>
<ds:datastoreItem xmlns:ds="http://schemas.openxmlformats.org/officeDocument/2006/customXml" ds:itemID="{15C05F94-B244-47EF-9599-084878D4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91b8a-c6de-4f3e-b6fb-10ce3a3ec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B142A-66CA-46D1-A2C8-139FA494E419}">
  <ds:schemaRefs>
    <ds:schemaRef ds:uri="http://schemas.microsoft.com/sharepoint/v3/contenttype/forms"/>
  </ds:schemaRefs>
</ds:datastoreItem>
</file>

<file path=customXml/itemProps4.xml><?xml version="1.0" encoding="utf-8"?>
<ds:datastoreItem xmlns:ds="http://schemas.openxmlformats.org/officeDocument/2006/customXml" ds:itemID="{1CA2E8FE-A7D4-4F6E-8B9F-EF064993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Kennebunk Savings Bank</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Comeau</dc:creator>
  <cp:lastModifiedBy>Kalin Billert</cp:lastModifiedBy>
  <cp:revision>3</cp:revision>
  <cp:lastPrinted>2021-07-06T19:03:00Z</cp:lastPrinted>
  <dcterms:created xsi:type="dcterms:W3CDTF">2021-07-06T19:04:00Z</dcterms:created>
  <dcterms:modified xsi:type="dcterms:W3CDTF">2021-07-06T19:04:00Z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0x0101003DE992BFBC21824CA3223339BC6B1091</vt:lpwstr>
  </property>
</Properties>
</file>